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after="560"/>
        <w:jc w:val="center"/>
      </w:pPr>
      <w:r>
        <w:drawing>
          <wp:inline xmlns:a="http://schemas.openxmlformats.org/drawingml/2006/main" xmlns:pic="http://schemas.openxmlformats.org/drawingml/2006/picture">
            <wp:extent cx="6080760" cy="2024941"/>
            <wp:docPr id="1" name="Picture 1"/>
            <wp:cNvGraphicFramePr>
              <a:graphicFrameLocks noChangeAspect="1"/>
            </wp:cNvGraphicFramePr>
            <a:graphic>
              <a:graphicData uri="http://schemas.openxmlformats.org/drawingml/2006/picture">
                <pic:pic>
                  <pic:nvPicPr>
                    <pic:cNvPr id="0" name="ChatGPT Image Sep 27, 2026, 09_48_11 PM(4).png"/>
                    <pic:cNvPicPr/>
                  </pic:nvPicPr>
                  <pic:blipFill>
                    <a:blip r:embed="rId12"/>
                    <a:stretch>
                      <a:fillRect/>
                    </a:stretch>
                  </pic:blipFill>
                  <pic:spPr>
                    <a:xfrm>
                      <a:off x="0" y="0"/>
                      <a:ext cx="6080760" cy="2024941"/>
                    </a:xfrm>
                    <a:prstGeom prst="rect"/>
                  </pic:spPr>
                </pic:pic>
              </a:graphicData>
            </a:graphic>
          </wp:inline>
        </w:drawing>
      </w:r>
    </w:p>
    <w:p>
      <w:pPr>
        <w:spacing w:before="160" w:after="240"/>
        <w:jc w:val="center"/>
      </w:pPr>
      <w:r>
        <w:rPr>
          <w:rFonts w:ascii="Aptos Display" w:hAnsi="Aptos Display"/>
          <w:b/>
          <w:color w:val="4B3E26"/>
          <w:sz w:val="46"/>
        </w:rPr>
        <w:t>ASSOCIATE ENROLMENT &amp; WORKING TERMS</w:t>
      </w:r>
    </w:p>
    <w:p>
      <w:pPr>
        <w:spacing w:after="240"/>
        <w:jc w:val="center"/>
      </w:pPr>
      <w:r>
        <w:rPr>
          <w:rFonts w:ascii="Aptos" w:hAnsi="Aptos"/>
          <w:b/>
          <w:color w:val="B77E10"/>
          <w:sz w:val="30"/>
        </w:rPr>
        <w:t>BLANK ASSOCIATE TEMPLATE</w:t>
      </w:r>
    </w:p>
    <w:p>
      <w:pPr>
        <w:spacing w:after="480"/>
        <w:jc w:val="center"/>
      </w:pPr>
      <w:r>
        <w:rPr>
          <w:rFonts w:ascii="Aptos" w:hAnsi="Aptos"/>
          <w:color w:val="646464"/>
          <w:sz w:val="20"/>
        </w:rPr>
        <w:t>Version 2.6  |  Controlled Agreement</w:t>
      </w:r>
    </w:p>
    <w:p>
      <w:pPr>
        <w:spacing w:after="140"/>
        <w:jc w:val="center"/>
      </w:pPr>
      <w:r>
        <w:rPr>
          <w:rFonts w:ascii="Aptos" w:hAnsi="Aptos"/>
          <w:b/>
          <w:color w:val="B77E10"/>
          <w:sz w:val="22"/>
        </w:rPr>
        <w:t>RELATIONSHIP CAPITAL™. GOVERNED PROPERLY.</w:t>
      </w:r>
    </w:p>
    <w:tbl>
      <w:tblPr>
        <w:tblW w:type="auto" w:w="0"/>
        <w:jc w:val="center"/>
        <w:tblLayout w:type="fixed"/>
        <w:tblLook w:firstColumn="1" w:firstRow="1" w:lastColumn="0" w:lastRow="0" w:noHBand="0" w:noVBand="1" w:val="04A0"/>
      </w:tblPr>
      <w:tblGrid>
        <w:gridCol w:w="2376"/>
        <w:gridCol w:w="6696"/>
      </w:tblGrid>
      <w:tr>
        <w:trPr>
          <w:trHeight w:hRule="auto"/>
        </w:trPr>
        <w:tc>
          <w:tcPr>
            <w:tcW w:type="dxa" w:w="5018"/>
            <w:tcMar>
              <w:top w:w="90" w:type="dxa"/>
              <w:start w:w="120" w:type="dxa"/>
              <w:bottom w:w="90" w:type="dxa"/>
              <w:end w:w="120" w:type="dxa"/>
              <w:left w:w="90" w:type="dxa"/>
              <w:right w:w="90" w:type="dxa"/>
            </w:tcMar>
            <w:vAlign w:val="center"/>
            <w:shd w:fill="F6E8C4"/>
          </w:tcPr>
          <w:p>
            <w:pPr>
              <w:spacing w:after="0"/>
            </w:pPr>
            <w:r>
              <w:rPr>
                <w:rFonts w:ascii="Aptos" w:hAnsi="Aptos"/>
                <w:b/>
                <w:color w:val="373737"/>
                <w:sz w:val="16"/>
              </w:rPr>
              <w:t>Company</w:t>
            </w:r>
          </w:p>
        </w:tc>
        <w:tc>
          <w:tcPr>
            <w:tcW w:type="dxa" w:w="5018"/>
            <w:tcMar>
              <w:top w:w="90" w:type="dxa"/>
              <w:start w:w="120" w:type="dxa"/>
              <w:bottom w:w="90" w:type="dxa"/>
              <w:end w:w="120" w:type="dxa"/>
              <w:left w:w="90" w:type="dxa"/>
              <w:right w:w="90" w:type="dxa"/>
            </w:tcMar>
            <w:vAlign w:val="center"/>
            <w:shd w:fill="F6E8C4"/>
          </w:tcPr>
          <w:p>
            <w:pPr>
              <w:spacing w:after="0"/>
            </w:pPr>
            <w:r>
              <w:rPr>
                <w:rFonts w:ascii="Aptos" w:hAnsi="Aptos"/>
                <w:b/>
                <w:color w:val="373737"/>
                <w:sz w:val="16"/>
              </w:rPr>
              <w:t>PSTORA LIMITED</w:t>
            </w:r>
          </w:p>
        </w:tc>
      </w:tr>
      <w:tr>
        <w:trPr>
          <w:trHeight w:hRule="auto"/>
        </w:trPr>
        <w:tc>
          <w:tcPr>
            <w:tcW w:type="dxa" w:w="5018"/>
            <w:tcMar>
              <w:top w:w="90" w:type="dxa"/>
              <w:start w:w="120" w:type="dxa"/>
              <w:bottom w:w="90" w:type="dxa"/>
              <w:end w:w="120" w:type="dxa"/>
              <w:left w:w="90" w:type="dxa"/>
              <w:right w:w="90" w:type="dxa"/>
            </w:tcMar>
            <w:vAlign w:val="center"/>
            <w:shd w:fill="E7EBEF"/>
          </w:tcPr>
          <w:p>
            <w:pPr>
              <w:spacing w:after="0"/>
            </w:pPr>
            <w:r>
              <w:rPr>
                <w:rFonts w:ascii="Aptos" w:hAnsi="Aptos"/>
                <w:b/>
                <w:sz w:val="16"/>
              </w:rPr>
              <w:t>Company number</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17445117</w:t>
            </w:r>
          </w:p>
        </w:tc>
      </w:tr>
      <w:tr>
        <w:trPr>
          <w:trHeight w:hRule="auto"/>
        </w:trPr>
        <w:tc>
          <w:tcPr>
            <w:tcW w:type="dxa" w:w="5018"/>
            <w:tcMar>
              <w:top w:w="90" w:type="dxa"/>
              <w:start w:w="120" w:type="dxa"/>
              <w:bottom w:w="90" w:type="dxa"/>
              <w:end w:w="120" w:type="dxa"/>
              <w:left w:w="90" w:type="dxa"/>
              <w:right w:w="90" w:type="dxa"/>
            </w:tcMar>
            <w:vAlign w:val="center"/>
            <w:shd w:fill="E7EBEF"/>
          </w:tcPr>
          <w:p>
            <w:pPr>
              <w:spacing w:after="0"/>
            </w:pPr>
            <w:r>
              <w:rPr>
                <w:rFonts w:ascii="Aptos" w:hAnsi="Aptos"/>
                <w:b/>
                <w:sz w:val="16"/>
              </w:rPr>
              <w:t>Registered office</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15a Shenfield Road, Brentwood, England, CM15 8AG</w:t>
            </w:r>
          </w:p>
        </w:tc>
      </w:tr>
      <w:tr>
        <w:trPr>
          <w:trHeight w:hRule="auto"/>
        </w:trPr>
        <w:tc>
          <w:tcPr>
            <w:tcW w:type="dxa" w:w="5018"/>
            <w:tcMar>
              <w:top w:w="90" w:type="dxa"/>
              <w:start w:w="120" w:type="dxa"/>
              <w:bottom w:w="90" w:type="dxa"/>
              <w:end w:w="120" w:type="dxa"/>
              <w:left w:w="90" w:type="dxa"/>
              <w:right w:w="90" w:type="dxa"/>
            </w:tcMar>
            <w:vAlign w:val="center"/>
            <w:shd w:fill="E7EBEF"/>
          </w:tcPr>
          <w:p>
            <w:pPr>
              <w:spacing w:after="0"/>
            </w:pPr>
            <w:r>
              <w:rPr>
                <w:rFonts w:ascii="Aptos" w:hAnsi="Aptos"/>
                <w:b/>
                <w:sz w:val="16"/>
              </w:rPr>
              <w:t>Associate</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[Associate name]</w:t>
            </w:r>
          </w:p>
        </w:tc>
      </w:tr>
      <w:tr>
        <w:trPr>
          <w:trHeight w:hRule="auto"/>
        </w:trPr>
        <w:tc>
          <w:tcPr>
            <w:tcW w:type="dxa" w:w="5018"/>
            <w:tcMar>
              <w:top w:w="90" w:type="dxa"/>
              <w:start w:w="120" w:type="dxa"/>
              <w:bottom w:w="90" w:type="dxa"/>
              <w:end w:w="120" w:type="dxa"/>
              <w:left w:w="90" w:type="dxa"/>
              <w:right w:w="90" w:type="dxa"/>
            </w:tcMar>
            <w:vAlign w:val="center"/>
            <w:shd w:fill="E7EBEF"/>
          </w:tcPr>
          <w:p>
            <w:pPr>
              <w:spacing w:after="0"/>
            </w:pPr>
            <w:r>
              <w:rPr>
                <w:rFonts w:ascii="Aptos" w:hAnsi="Aptos"/>
                <w:b/>
                <w:sz w:val="16"/>
              </w:rPr>
              <w:t>Agreement date</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See Schedule 1</w:t>
            </w:r>
          </w:p>
        </w:tc>
      </w:tr>
    </w:tbl>
    <w:p>
      <w:pPr>
        <w:spacing w:before="240"/>
        <w:jc w:val="center"/>
      </w:pPr>
      <w:r>
        <w:rPr>
          <w:rFonts w:ascii="Aptos" w:hAnsi="Aptos"/>
          <w:b/>
          <w:color w:val="4B3E26"/>
          <w:sz w:val="22"/>
        </w:rPr>
        <w:t>NO DEMAND. NO PURSUIT.™</w:t>
      </w:r>
    </w:p>
    <w:p>
      <w:pPr>
        <w:spacing w:before="640"/>
        <w:jc w:val="center"/>
      </w:pPr>
      <w:r>
        <w:rPr>
          <w:rFonts w:ascii="Aptos" w:hAnsi="Aptos"/>
          <w:color w:val="6E6E6E"/>
          <w:sz w:val="16"/>
        </w:rPr>
        <w:t>STRICTLY PRIVATE &amp; CONFIDENTIAL</w:t>
      </w:r>
    </w:p>
    <w:p>
      <w:r>
        <w:br w:type="page"/>
      </w:r>
    </w:p>
    <w:p>
      <w:pPr>
        <w:pStyle w:val="Heading1"/>
        <w:keepNext/>
        <w:pBdr>
          <w:top w:val="single" w:sz="10" w:space="5" w:color="B77E10"/>
        </w:pBdr>
      </w:pPr>
      <w:r>
        <w:rPr>
          <w:rFonts w:ascii="Aptos Display" w:hAnsi="Aptos Display"/>
          <w:color w:val="B77E10"/>
        </w:rPr>
        <w:t>Purpose and structure</w:t>
      </w:r>
    </w:p>
    <w:p>
      <w:r>
        <w:t>These Terms govern the Associate’s enrolment and ongoing participation as a PSTORA Associate. They provide the standard operating agreement for Associate participation, with the Associate’s individual commercial terms recorded in Schedule 1. Opportunity-specific rules may also be recorded in an approved opportunity-specific commercial record. A “Diamond” is a potential commercial opportunity discovered through trusted relationships. Diamonds are submitted to PSTORA Front Desk using the Diamond Intelligence Form (DIF). PSTORA evaluates, matches, receives the applicable payment and shares the agreed Growth Share, subject to these Terms and Schedule 1.</w:t>
      </w:r>
    </w:p>
    <w:p>
      <w:r>
        <w:t>These Terms are the foundation agreement for the Associate’s Associate status. Any separate PSTORA Associate Affiliate Programme Agreement is supplemental to, and conditional upon, these Terms being signed and the Associate remaining an active PSTORA Associate in good standing.</w:t>
      </w:r>
    </w:p>
    <w:p>
      <w:pPr>
        <w:spacing w:before="100" w:after="80"/>
      </w:pPr>
      <w:r>
        <w:rPr>
          <w:rFonts w:ascii="Georgia" w:hAnsi="Georgia"/>
          <w:b/>
          <w:color w:val="B57E00"/>
          <w:sz w:val="22"/>
        </w:rPr>
        <w:t>Key definitions</w:t>
      </w:r>
    </w:p>
    <w:tbl>
      <w:tblPr>
        <w:tblW w:type="auto" w:w="0"/>
        <w:jc w:val="center"/>
        <w:tblLayout w:type="fixed"/>
        <w:tblLook w:firstColumn="1" w:firstRow="1" w:lastColumn="0" w:lastRow="0" w:noHBand="0" w:noVBand="1" w:val="04A0"/>
      </w:tblPr>
      <w:tblGrid>
        <w:gridCol w:w="2304"/>
        <w:gridCol w:w="6768"/>
      </w:tblGrid>
      <w:tr>
        <w:trPr>
          <w:trHeight w:hRule="auto"/>
        </w:trPr>
        <w:tc>
          <w:tcPr>
            <w:tcW w:type="dxa" w:w="5018"/>
            <w:shd w:fill="F6E8C4"/>
            <w:tcMar>
              <w:top w:w="90" w:type="dxa"/>
              <w:start w:w="120" w:type="dxa"/>
              <w:bottom w:w="90" w:type="dxa"/>
              <w:end w:w="120" w:type="dxa"/>
              <w:left w:w="90" w:type="dxa"/>
              <w:right w:w="90" w:type="dxa"/>
            </w:tcMar>
            <w:vAlign w:val="center"/>
          </w:tcPr>
          <w:p>
            <w:pPr>
              <w:spacing w:after="0"/>
            </w:pPr>
            <w:r>
              <w:rPr>
                <w:rFonts w:ascii="Aptos" w:hAnsi="Aptos"/>
                <w:b/>
                <w:color w:val="373737"/>
                <w:sz w:val="16"/>
              </w:rPr>
              <w:t>Relationship Capital™</w:t>
            </w:r>
          </w:p>
        </w:tc>
        <w:tc>
          <w:tcPr>
            <w:tcW w:type="dxa" w:w="5018"/>
            <w:shd w:fill="F6E8C4"/>
            <w:tcMar>
              <w:top w:w="90" w:type="dxa"/>
              <w:start w:w="120" w:type="dxa"/>
              <w:bottom w:w="90" w:type="dxa"/>
              <w:end w:w="120" w:type="dxa"/>
              <w:left w:w="90" w:type="dxa"/>
              <w:right w:w="90" w:type="dxa"/>
            </w:tcMar>
            <w:vAlign w:val="center"/>
          </w:tcPr>
          <w:p>
            <w:pPr>
              <w:spacing w:after="0"/>
            </w:pPr>
            <w:r>
              <w:rPr>
                <w:rFonts w:ascii="Aptos" w:hAnsi="Aptos"/>
                <w:b/>
                <w:color w:val="373737"/>
                <w:sz w:val="16"/>
              </w:rPr>
              <w:t>the goodwill and attributable value created through trusted relationships.</w:t>
            </w:r>
          </w:p>
        </w:tc>
      </w:tr>
      <w:tr>
        <w:trPr>
          <w:trHeight w:hRule="auto"/>
        </w:trPr>
        <w:tc>
          <w:tcPr>
            <w:tcW w:type="dxa" w:w="5018"/>
            <w:shd w:fill="F4EAD5"/>
            <w:tcMar>
              <w:top w:w="90" w:type="dxa"/>
              <w:start w:w="120" w:type="dxa"/>
              <w:bottom w:w="90" w:type="dxa"/>
              <w:end w:w="120" w:type="dxa"/>
              <w:left w:w="90" w:type="dxa"/>
              <w:right w:w="90" w:type="dxa"/>
            </w:tcMar>
            <w:vAlign w:val="center"/>
          </w:tcPr>
          <w:p>
            <w:pPr>
              <w:spacing w:after="0"/>
            </w:pPr>
            <w:r>
              <w:rPr>
                <w:rFonts w:ascii="Aptos" w:hAnsi="Aptos"/>
                <w:b/>
                <w:sz w:val="16"/>
              </w:rPr>
              <w:t>Growth Share £</w:t>
            </w:r>
          </w:p>
        </w:tc>
        <w:tc>
          <w:tcPr>
            <w:tcW w:type="dxa" w:w="5018"/>
            <w:shd w:fill="FCFAF5"/>
            <w:tcMar>
              <w:top w:w="90" w:type="dxa"/>
              <w:start w:w="120" w:type="dxa"/>
              <w:bottom w:w="90" w:type="dxa"/>
              <w:end w:w="120" w:type="dxa"/>
              <w:left w:w="90" w:type="dxa"/>
              <w:right w:w="90" w:type="dxa"/>
            </w:tcMar>
            <w:vAlign w:val="center"/>
          </w:tcPr>
          <w:p>
            <w:pPr>
              <w:spacing w:after="0"/>
            </w:pPr>
            <w:r>
              <w:rPr>
                <w:rFonts w:ascii="Aptos" w:hAnsi="Aptos"/>
                <w:sz w:val="16"/>
              </w:rPr>
              <w:t>the cash entitlement payable to an Associate under Schedule 1 or an approved opportunity-specific commercial rule.</w:t>
            </w:r>
          </w:p>
        </w:tc>
      </w:tr>
    </w:tbl>
    <w:p>
      <w:pPr>
        <w:pStyle w:val="Heading1"/>
        <w:keepNext/>
        <w:pBdr>
          <w:top w:val="single" w:sz="10" w:space="5" w:color="B77E10"/>
        </w:pBdr>
      </w:pPr>
      <w:r>
        <w:rPr>
          <w:rFonts w:ascii="Aptos Display" w:hAnsi="Aptos Display"/>
          <w:color w:val="B77E10"/>
        </w:rPr>
        <w:t>PART A — ASSOCIATE ENROLMENT TERMS</w:t>
      </w:r>
    </w:p>
    <w:p>
      <w:pPr>
        <w:pStyle w:val="Heading2"/>
        <w:keepNext/>
      </w:pPr>
      <w:r>
        <w:rPr>
          <w:rFonts w:ascii="Aptos" w:hAnsi="Aptos"/>
          <w:color w:val="373737"/>
        </w:rPr>
        <w:t>1. Purpose</w:t>
      </w:r>
    </w:p>
    <w:p>
      <w:r>
        <w:t>PSTORA operates a governed Relationship Capital™ network through which trusted professional relationships may, where appropriate, give rise to qualified commercial connections, attributable value and Growth Share £.</w:t>
      </w:r>
    </w:p>
    <w:p>
      <w:pPr>
        <w:pStyle w:val="ListBullet"/>
        <w:ind w:left="317" w:hanging="173"/>
      </w:pPr>
      <w:r>
        <w:t>The Associate’s enrolment and continuing participation as a PSTORA Associate;</w:t>
      </w:r>
    </w:p>
    <w:p>
      <w:pPr>
        <w:pStyle w:val="ListBullet"/>
        <w:ind w:left="317" w:hanging="173"/>
      </w:pPr>
      <w:r>
        <w:t>how relationships, opportunities, Suppliers and introduced Associates are registered and governed;</w:t>
      </w:r>
    </w:p>
    <w:p>
      <w:pPr>
        <w:pStyle w:val="ListBullet"/>
        <w:ind w:left="317" w:hanging="173"/>
      </w:pPr>
      <w:r>
        <w:t>how attribution is determined;</w:t>
      </w:r>
    </w:p>
    <w:p>
      <w:pPr>
        <w:pStyle w:val="ListBullet"/>
        <w:ind w:left="317" w:hanging="173"/>
      </w:pPr>
      <w:r>
        <w:t>how Growth Share £ and any other Associate commercial entitlement is calculated and paid;</w:t>
      </w:r>
    </w:p>
    <w:p>
      <w:pPr>
        <w:pStyle w:val="ListBullet"/>
        <w:ind w:left="317" w:hanging="173"/>
      </w:pPr>
      <w:r>
        <w:t>the relationship between these Terms and any separate Associate Affiliate Programme Agreement; and</w:t>
      </w:r>
    </w:p>
    <w:p>
      <w:pPr>
        <w:pStyle w:val="ListBullet"/>
        <w:ind w:left="317" w:hanging="173"/>
      </w:pPr>
      <w:r>
        <w:t>the standards expected of PSTORA and the Associate.</w:t>
      </w:r>
    </w:p>
    <w:p>
      <w:r>
        <w:t>NO DEMAND. NO PURSUIT.™ An Associate must not manufacture demand, pursue a relationship merely because it may be commercially useful, or make an introduction simply because a Supplier exists.</w:t>
      </w:r>
    </w:p>
    <w:p>
      <w:pPr>
        <w:pStyle w:val="Heading2"/>
        <w:keepNext/>
      </w:pPr>
      <w:r>
        <w:rPr>
          <w:rFonts w:ascii="Aptos" w:hAnsi="Aptos"/>
          <w:color w:val="373737"/>
        </w:rPr>
        <w:t>2. Eligibility and activation</w:t>
      </w:r>
    </w:p>
    <w:p>
      <w:r>
        <w:t>Associate status is by approval, not automatic registration. The Associate’s status begins only when all applicable onboarding conditions are satisfied, including:</w:t>
      </w:r>
    </w:p>
    <w:p>
      <w:pPr>
        <w:pStyle w:val="ListBullet"/>
        <w:ind w:left="317" w:hanging="173"/>
      </w:pPr>
      <w:r>
        <w:t>PSTORA approval of the application;</w:t>
      </w:r>
    </w:p>
    <w:p>
      <w:pPr>
        <w:pStyle w:val="ListBullet"/>
        <w:ind w:left="317" w:hanging="173"/>
      </w:pPr>
      <w:r>
        <w:t>information reasonably requested for onboarding has been supplied;</w:t>
      </w:r>
    </w:p>
    <w:p>
      <w:pPr>
        <w:pStyle w:val="ListBullet"/>
        <w:ind w:left="317" w:hanging="173"/>
      </w:pPr>
      <w:r>
        <w:t>required identity, business and compliance checks have been satisfactorily completed;</w:t>
      </w:r>
    </w:p>
    <w:p>
      <w:pPr>
        <w:pStyle w:val="ListBullet"/>
        <w:ind w:left="317" w:hanging="173"/>
      </w:pPr>
      <w:r>
        <w:t>these Terms and applicable PSTORA policies have been accepted;</w:t>
      </w:r>
    </w:p>
    <w:p>
      <w:pPr>
        <w:pStyle w:val="ListBullet"/>
        <w:ind w:left="317" w:hanging="173"/>
      </w:pPr>
      <w:r>
        <w:t>Schedule 1 has been agreed; and</w:t>
      </w:r>
    </w:p>
    <w:p>
      <w:pPr>
        <w:pStyle w:val="ListBullet"/>
        <w:ind w:left="317" w:hanging="173"/>
      </w:pPr>
      <w:r>
        <w:t>PSTORA confirms activation in writing.</w:t>
      </w:r>
    </w:p>
    <w:p>
      <w:r>
        <w:t>PSTORA may accept, defer, condition or decline participation where reasonably necessary to protect the Exchange, its participants or governance standards.</w:t>
      </w:r>
    </w:p>
    <w:p>
      <w:pPr>
        <w:pStyle w:val="Heading2"/>
        <w:keepNext/>
      </w:pPr>
      <w:r>
        <w:rPr>
          <w:rFonts w:ascii="Aptos" w:hAnsi="Aptos"/>
          <w:color w:val="373737"/>
        </w:rPr>
        <w:t>3. Onboarding information and checks</w:t>
      </w:r>
    </w:p>
    <w:p>
      <w:r>
        <w:t>The Associate must provide accurate and complete information reasonably required by PSTORA, including identity, contact, business, tax, payment, sanctions/PEP, professional/regulatory and insurance information where relevant, and must promptly notify PSTORA of any material change.</w:t>
      </w:r>
    </w:p>
    <w:p>
      <w:pPr>
        <w:pStyle w:val="Heading2"/>
        <w:keepNext/>
      </w:pPr>
      <w:r>
        <w:rPr>
          <w:rFonts w:ascii="Aptos" w:hAnsi="Aptos"/>
          <w:color w:val="373737"/>
        </w:rPr>
        <w:t>4. Independent status</w:t>
      </w:r>
    </w:p>
    <w:p>
      <w:pPr>
        <w:keepLines/>
      </w:pPr>
      <w:r>
        <w:t>The Associate participates as an independent Associate. Nothing in these Terms creates employment, worker status, partnership, agency, fiduciary relationship, franchise, joint venture or authority to bind PSTORA. The Associate remains responsible for their own tax affairs, National Insurance, business expenses, professional registrations, insurance, regulatory compliance and professional advice.</w:t>
      </w:r>
    </w:p>
    <w:p>
      <w:pPr>
        <w:pStyle w:val="Heading2"/>
        <w:keepNext/>
      </w:pPr>
      <w:r>
        <w:rPr>
          <w:rFonts w:ascii="Aptos" w:hAnsi="Aptos"/>
          <w:color w:val="373737"/>
        </w:rPr>
        <w:t>5. Personal / entity-specific status</w:t>
      </w:r>
    </w:p>
    <w:p>
      <w:r>
        <w:t>Associate status applies only to the Associate or any entity expressly approved and named in Schedule 1. It may not be transferred, sublicensed or shared without PSTORA’s prior written approval.</w:t>
      </w:r>
    </w:p>
    <w:p>
      <w:pPr>
        <w:pStyle w:val="Heading1"/>
        <w:keepNext/>
        <w:pBdr>
          <w:top w:val="single" w:sz="10" w:space="5" w:color="B77E10"/>
        </w:pBdr>
      </w:pPr>
      <w:r>
        <w:rPr>
          <w:rFonts w:ascii="Aptos Display" w:hAnsi="Aptos Display"/>
          <w:color w:val="B77E10"/>
        </w:rPr>
        <w:t>PART B — ASSOCIATE WORKING TERMS</w:t>
      </w:r>
    </w:p>
    <w:p>
      <w:pPr>
        <w:pStyle w:val="Heading2"/>
        <w:keepNext/>
      </w:pPr>
      <w:r>
        <w:rPr>
          <w:rFonts w:ascii="Aptos" w:hAnsi="Aptos"/>
          <w:color w:val="373737"/>
        </w:rPr>
        <w:t>6. Demand-led working model</w:t>
      </w:r>
    </w:p>
    <w:p>
      <w:r>
        <w:t>PSTORA operates on a demand-led basis. The Associate should begin with “What genuine requirement exists?” rather than “What can I sell into my network?”</w:t>
      </w:r>
    </w:p>
    <w:p>
      <w:pPr>
        <w:pStyle w:val="ListBullet"/>
        <w:ind w:left="317" w:hanging="173"/>
      </w:pPr>
      <w:r>
        <w:t>do not manufacture demand;</w:t>
      </w:r>
    </w:p>
    <w:p>
      <w:pPr>
        <w:pStyle w:val="ListBullet"/>
        <w:ind w:left="317" w:hanging="173"/>
      </w:pPr>
      <w:r>
        <w:t>do not search your network for people to sell a particular Supplier to;</w:t>
      </w:r>
    </w:p>
    <w:p>
      <w:pPr>
        <w:pStyle w:val="ListBullet"/>
        <w:ind w:left="317" w:hanging="173"/>
      </w:pPr>
      <w:r>
        <w:t>do not create introductions merely to generate commission;</w:t>
      </w:r>
    </w:p>
    <w:p>
      <w:pPr>
        <w:pStyle w:val="ListBullet"/>
        <w:ind w:left="317" w:hanging="173"/>
      </w:pPr>
      <w:r>
        <w:t>do not pressure a relationship to engage;</w:t>
      </w:r>
    </w:p>
    <w:p>
      <w:pPr>
        <w:pStyle w:val="ListBullet"/>
        <w:ind w:left="317" w:hanging="173"/>
      </w:pPr>
      <w:r>
        <w:t>do not mischaracterise a need as an opportunity;</w:t>
      </w:r>
    </w:p>
    <w:p>
      <w:pPr>
        <w:pStyle w:val="ListBullet"/>
        <w:ind w:left="317" w:hanging="173"/>
      </w:pPr>
      <w:r>
        <w:t>do not make an introduction without an appropriate basis; and</w:t>
      </w:r>
    </w:p>
    <w:p>
      <w:pPr>
        <w:pStyle w:val="ListBullet"/>
        <w:ind w:left="317" w:hanging="173"/>
      </w:pPr>
      <w:r>
        <w:t>do not treat a trusted relationship as a sales list.</w:t>
      </w:r>
    </w:p>
    <w:p>
      <w:r>
        <w:t>An opportunity should arise from genuine evidenced demand and an appropriate connection.</w:t>
      </w:r>
    </w:p>
    <w:p>
      <w:pPr>
        <w:pStyle w:val="Heading2"/>
        <w:keepNext/>
      </w:pPr>
      <w:r>
        <w:rPr>
          <w:rFonts w:ascii="Aptos" w:hAnsi="Aptos"/>
          <w:color w:val="373737"/>
        </w:rPr>
        <w:t>7. Relationship ownership and stewardship</w:t>
      </w:r>
    </w:p>
    <w:p>
      <w:r>
        <w:t>The Associate retains their own pre-existing professional relationships. PSTORA does not own individuals, contacts or relationships. PSTORA records provenance, attribution, consent/permission, opportunity status, Supplier involvement, introduced-Associate provenance, commercial outcome and any entitlement arising under Schedule 1. Registration does not transfer ownership of the underlying relationship to PSTORA.</w:t>
      </w:r>
    </w:p>
    <w:p>
      <w:pPr>
        <w:pStyle w:val="Heading2"/>
        <w:keepNext/>
      </w:pPr>
      <w:r>
        <w:rPr>
          <w:rFonts w:ascii="Aptos" w:hAnsi="Aptos"/>
          <w:color w:val="373737"/>
        </w:rPr>
        <w:t>8. Relationship and opportunity registration</w:t>
      </w:r>
    </w:p>
    <w:p>
      <w:r>
        <w:t>A relationship, requirement or opportunity must be registered through PSTORA’s approved process before it can qualify for attribution or Growth Share £. The registration should identify the Associate, originating relationship, Demand-side party, nature of the requirement, proposed Supplier/capability if known, consent/permission basis, information-sharing boundary, date/source, supporting evidence and any known competing or pre-existing relationship.</w:t>
      </w:r>
    </w:p>
    <w:p>
      <w:r>
        <w:t>Registration alone does not guarantee acceptance or attribution. PSTORA may accept, reject, request clarification, identify duplication, record shared attribution, or determine that the matter is not suitable to progress.</w:t>
      </w:r>
    </w:p>
    <w:p>
      <w:pPr>
        <w:pStyle w:val="Heading2"/>
        <w:keepNext/>
      </w:pPr>
      <w:r>
        <w:rPr>
          <w:rFonts w:ascii="Aptos" w:hAnsi="Aptos"/>
          <w:color w:val="373737"/>
        </w:rPr>
        <w:t>9. Approval before introduction</w:t>
      </w:r>
    </w:p>
    <w:p>
      <w:r>
        <w:t>Where PSTORA’s operating procedure requires approval before an introduction, the Associate must not make the introduction until approval is given. The Associate must not disclose confidential information without authority, share personal data without a lawful basis, imply that a Supplier or Associate is approved when it is not, promise a commercial outcome, agree Supplier terms on PSTORA’s behalf, or present an introduction as PSTORA-approved before approval.</w:t>
      </w:r>
    </w:p>
    <w:p>
      <w:pPr>
        <w:pStyle w:val="Heading2"/>
        <w:keepNext/>
      </w:pPr>
      <w:r>
        <w:rPr>
          <w:rFonts w:ascii="Aptos" w:hAnsi="Aptos"/>
          <w:color w:val="373737"/>
        </w:rPr>
        <w:t>10. Approved Suppliers and Associates</w:t>
      </w:r>
    </w:p>
    <w:p>
      <w:r>
        <w:t>The Associate may only describe a business as an Approved Supplier, or a person as an activated PSTORA Associate, where PSTORA has confirmed that status. Approval may be service-specific, sector-specific, geographic, time-limited, conditional or subject to review. Approval does not guarantee suitability for every opportunity.</w:t>
      </w:r>
    </w:p>
    <w:p>
      <w:pPr>
        <w:pStyle w:val="Heading2"/>
        <w:keepNext/>
      </w:pPr>
      <w:r>
        <w:rPr>
          <w:rFonts w:ascii="Aptos" w:hAnsi="Aptos"/>
          <w:color w:val="373737"/>
        </w:rPr>
        <w:t>11. Attribution</w:t>
      </w:r>
    </w:p>
    <w:p>
      <w:r>
        <w:t>PSTORA determines attribution by reference to the available evidence, including who held the originating relationship, who identified genuine demand, who created the appropriate connection, who registered the opportunity or introduction first, what each participant materially contributed, any pre-existing Supplier/Associate relationship, timing, consent and information boundaries, and documentary/system evidence. Shared attribution may be approved where more than one person materially contributes.</w:t>
      </w:r>
    </w:p>
    <w:p>
      <w:pPr>
        <w:pStyle w:val="Heading2"/>
        <w:keepNext/>
      </w:pPr>
      <w:r>
        <w:rPr>
          <w:rFonts w:ascii="Aptos" w:hAnsi="Aptos"/>
          <w:color w:val="373737"/>
        </w:rPr>
        <w:t>12. Commercial entitlement</w:t>
      </w:r>
    </w:p>
    <w:p>
      <w:r>
        <w:t>No Associate has an automatic entitlement to a fixed percentage merely by joining PSTORA. The Associate’s commercial entitlements are those stated in Schedule 1 or an applicable approved opportunity-specific commercial rule. These may include direct opportunity Growth Share £, Supplier-introducer entitlement, Associate-introducer entitlement, shared attribution, fixed fees, recurring revenues, transaction-specific arrangements and Affiliate Programme commission.</w:t>
      </w:r>
    </w:p>
    <w:p>
      <w:pPr>
        <w:pStyle w:val="Heading2"/>
        <w:keepNext/>
      </w:pPr>
      <w:r>
        <w:rPr>
          <w:rFonts w:ascii="Aptos" w:hAnsi="Aptos"/>
          <w:color w:val="373737"/>
        </w:rPr>
        <w:t>13. Direct opportunity Growth Share £</w:t>
      </w:r>
    </w:p>
    <w:p>
      <w:r>
        <w:t>For a qualifying business opportunity validly originated and attributed to the Associate, the Associate is entitled to the percentage of Net PSTORA Revenue specified in Schedule 1. For this Agreement, the Associate’s standard direct opportunity entitlement is 40% of Net PSTORA Revenue, unless an approved opportunity-specific commercial rule states otherwise.</w:t>
      </w:r>
    </w:p>
    <w:p>
      <w:pPr>
        <w:pStyle w:val="Heading2"/>
        <w:keepNext/>
      </w:pPr>
      <w:r>
        <w:rPr>
          <w:rFonts w:ascii="Aptos" w:hAnsi="Aptos"/>
          <w:color w:val="373737"/>
        </w:rPr>
        <w:t>14. Supplier introduction entitlement — 10% continuing override</w:t>
      </w:r>
    </w:p>
    <w:p>
      <w:r>
        <w:t>Where the Associate introduces a prospective Supplier that is new to PSTORA, registers that introduction through the approved process, and PSTORA accepts and activates that Supplier, the Associate is entitled to an additional continuing 10% of Net PSTORA Revenue actually received by PSTORA from qualifying transactions with that Supplier, subject to Schedule 1 and the conditions below.</w:t>
      </w:r>
    </w:p>
    <w:p>
      <w:pPr>
        <w:pStyle w:val="ListBullet"/>
        <w:ind w:left="317" w:hanging="173"/>
      </w:pPr>
      <w:r>
        <w:t>the Supplier must be introduced and registered by the Associate before substantive PSTORA engagement or an existing recorded Supplier relationship;</w:t>
      </w:r>
    </w:p>
    <w:p>
      <w:pPr>
        <w:pStyle w:val="ListBullet"/>
        <w:ind w:left="317" w:hanging="173"/>
      </w:pPr>
      <w:r>
        <w:t>PSTORA must confirm Supplier-introducer attribution in writing;</w:t>
      </w:r>
    </w:p>
    <w:p>
      <w:pPr>
        <w:pStyle w:val="ListBullet"/>
        <w:ind w:left="317" w:hanging="173"/>
      </w:pPr>
      <w:r>
        <w:t>the 10% applies to Net PSTORA Revenue actually received and reconciled from qualifying transactions with that Supplier, not to the end-client contract value;</w:t>
      </w:r>
    </w:p>
    <w:p>
      <w:pPr>
        <w:pStyle w:val="ListBullet"/>
        <w:ind w:left="317" w:hanging="173"/>
      </w:pPr>
      <w:r>
        <w:t>the entitlement is additional to the Associate’s direct opportunity Growth Share £ where the Associate separately originates and is attributed the business opportunity;</w:t>
      </w:r>
    </w:p>
    <w:p>
      <w:pPr>
        <w:pStyle w:val="ListBullet"/>
        <w:ind w:left="317" w:hanging="173"/>
      </w:pPr>
      <w:r>
        <w:t>refunds, reversals, chargebacks, credits and clawbacks apply on the same basis as other Associate entitlements;</w:t>
      </w:r>
    </w:p>
    <w:p>
      <w:pPr>
        <w:pStyle w:val="ListBullet"/>
        <w:ind w:left="317" w:hanging="173"/>
      </w:pPr>
      <w:r>
        <w:t>the entitlement continues while the Associate remains an active Associate in good standing and the Supplier remains an approved PSTORA Supplier, unless Schedule 1 or a written commercial record expressly provides otherwise; and</w:t>
      </w:r>
    </w:p>
    <w:p>
      <w:pPr>
        <w:pStyle w:val="ListBullet"/>
        <w:ind w:left="317" w:hanging="173"/>
      </w:pPr>
      <w:r>
        <w:t>no entitlement arises where the Supplier was already in PSTORA’s active pipeline, had a pre-existing substantive relationship with PSTORA, or the introduction is not accepted for attribution.</w:t>
      </w:r>
    </w:p>
    <w:p>
      <w:pPr>
        <w:pStyle w:val="Heading2"/>
        <w:keepNext/>
      </w:pPr>
      <w:r>
        <w:rPr>
          <w:rFonts w:ascii="Aptos" w:hAnsi="Aptos"/>
          <w:color w:val="373737"/>
        </w:rPr>
        <w:t>15. Associate introduction entitlement — 10% continuing override</w:t>
      </w:r>
    </w:p>
    <w:p>
      <w:r>
        <w:t>Where the Associate introduces a prospective Associate that is new to PSTORA, registers that introduction through the approved process, and PSTORA approves and activates that person or entity as a PSTORA Associate, the Associate is entitled to an additional continuing 10% of Net PSTORA Revenue actually received by PSTORA from qualifying transactions validly originated and attributed to that introduced Associate, subject to Schedule 1 and the conditions below.</w:t>
      </w:r>
    </w:p>
    <w:p>
      <w:pPr>
        <w:pStyle w:val="ListBullet"/>
        <w:ind w:left="317" w:hanging="173"/>
      </w:pPr>
      <w:r>
        <w:t>the introduced Associate must be new to PSTORA and not already in an active onboarding or recruitment process;</w:t>
      </w:r>
    </w:p>
    <w:p>
      <w:pPr>
        <w:pStyle w:val="ListBullet"/>
        <w:ind w:left="317" w:hanging="173"/>
      </w:pPr>
      <w:r>
        <w:t>PSTORA must confirm Associate-introducer attribution in writing;</w:t>
      </w:r>
    </w:p>
    <w:p>
      <w:pPr>
        <w:pStyle w:val="ListBullet"/>
        <w:ind w:left="317" w:hanging="173"/>
      </w:pPr>
      <w:r>
        <w:t>the 10% applies only to Net PSTORA Revenue generated from qualifying opportunities attributed to the introduced Associate and actually received and reconciled by PSTORA;</w:t>
      </w:r>
    </w:p>
    <w:p>
      <w:pPr>
        <w:pStyle w:val="ListBullet"/>
        <w:ind w:left="317" w:hanging="173"/>
      </w:pPr>
      <w:r>
        <w:t>the introduced Associate’s own Growth Share £ is calculated separately under their own Schedule 1 or approved opportunity-specific rule;</w:t>
      </w:r>
    </w:p>
    <w:p>
      <w:pPr>
        <w:pStyle w:val="ListBullet"/>
        <w:ind w:left="317" w:hanging="173"/>
      </w:pPr>
      <w:r>
        <w:t>The Associate’s 10% Associate-introducer entitlement is additional and does not reduce the introduced Associate’s agreed Growth Share £ unless expressly agreed otherwise;</w:t>
      </w:r>
    </w:p>
    <w:p>
      <w:pPr>
        <w:pStyle w:val="ListBullet"/>
        <w:ind w:left="317" w:hanging="173"/>
      </w:pPr>
      <w:r>
        <w:t>the entitlement continues while the Associate remains an active Associate in good standing and the introduced Associate remains active, unless Schedule 1 or a written commercial record expressly provides otherwise; and</w:t>
      </w:r>
    </w:p>
    <w:p>
      <w:pPr>
        <w:pStyle w:val="ListBullet"/>
        <w:ind w:left="317" w:hanging="173"/>
      </w:pPr>
      <w:r>
        <w:t>no entitlement arises from duplicate, pre-existing or unaccepted Associate introductions.</w:t>
      </w:r>
    </w:p>
    <w:p>
      <w:pPr>
        <w:pStyle w:val="Heading2"/>
        <w:keepNext/>
      </w:pPr>
      <w:r>
        <w:rPr>
          <w:rFonts w:ascii="Aptos" w:hAnsi="Aptos"/>
          <w:color w:val="373737"/>
        </w:rPr>
        <w:t>16. Stacking and no double counting</w:t>
      </w:r>
    </w:p>
    <w:p>
      <w:r>
        <w:t>Where the Associate creates value in more than one capacity, separate entitlements may apply together where each has been validly earned. For example, if the Associate introduced the Supplier and separately originates the business opportunity, the 40% direct opportunity entitlement and 10% Supplier-introducer entitlement may both apply to the relevant Net PSTORA Revenue. If the Associate also has an Affiliate Programme entitlement, that commission is separate and governed by the Associate Affiliate Programme Agreement. PSTORA will not apply two entitlements to the same category of value merely because the same act has been described in different ways.</w:t>
      </w:r>
    </w:p>
    <w:p>
      <w:pPr>
        <w:pStyle w:val="Heading2"/>
        <w:keepNext/>
      </w:pPr>
      <w:r>
        <w:rPr>
          <w:rFonts w:ascii="Aptos" w:hAnsi="Aptos"/>
          <w:color w:val="373737"/>
        </w:rPr>
        <w:t>17. Associate Affiliate Programme — separate agreement, conditional eligibility</w:t>
      </w:r>
    </w:p>
    <w:p>
      <w:r>
        <w:t>PSTORA may offer the Associate participation in the separate PSTORA Associate Affiliate Programme. That programme is not created by these Terms and no Affiliate Commission is payable unless the Associate signs the separate Associate Affiliate Programme Agreement and satisfies its qualifying conditions.</w:t>
      </w:r>
    </w:p>
    <w:p>
      <w:r>
        <w:t>Eligibility for the Affiliate Programme is conditional upon: (a) these Associate Enrolment &amp; Working Terms having been signed; (b) the Associate remaining an active PSTORA Associate in good standing; and (c) the separate Associate Affiliate Programme Agreement remaining in force.</w:t>
      </w:r>
    </w:p>
    <w:p>
      <w:r>
        <w:t>The Affiliate Programme currently governs commission for qualifying introductions or direct sales of PSTORA Supplier Membership Packages. Its commercial basis, including any 10% Successful Introduction or 20% Direct Sale commission based on Minimum Committed Contract Value, is separate from the Growth Share £ and continuing Supplier/Associate introduction entitlements under these Terms. If there is a conflict on an Affiliate Programme commercial matter, the signed Affiliate Programme Agreement governs that matter; these Terms continue to govern the underlying Associate relationship, due diligence, conduct, confidentiality, attribution and termination.</w:t>
      </w:r>
    </w:p>
    <w:p>
      <w:pPr>
        <w:pStyle w:val="Heading2"/>
        <w:keepNext/>
      </w:pPr>
      <w:r>
        <w:rPr>
          <w:rFonts w:ascii="Aptos" w:hAnsi="Aptos"/>
          <w:color w:val="373737"/>
        </w:rPr>
        <w:t>18. When Growth Share £ becomes payable</w:t>
      </w:r>
    </w:p>
    <w:p>
      <w:r>
        <w:t>Unless Schedule 1 expressly provides otherwise, Growth Share £ becomes payable only when:</w:t>
      </w:r>
    </w:p>
    <w:p>
      <w:pPr>
        <w:pStyle w:val="ListBullet"/>
        <w:ind w:left="317" w:hanging="173"/>
      </w:pPr>
      <w:r>
        <w:t>the opportunity or qualifying introduction has been validly registered;</w:t>
      </w:r>
    </w:p>
    <w:p>
      <w:pPr>
        <w:pStyle w:val="ListBullet"/>
        <w:ind w:left="317" w:hanging="173"/>
      </w:pPr>
      <w:r>
        <w:t>attribution has been confirmed;</w:t>
      </w:r>
    </w:p>
    <w:p>
      <w:pPr>
        <w:pStyle w:val="ListBullet"/>
        <w:ind w:left="317" w:hanging="173"/>
      </w:pPr>
      <w:r>
        <w:t>any required Supplier or Associate acceptance has occurred;</w:t>
      </w:r>
    </w:p>
    <w:p>
      <w:pPr>
        <w:pStyle w:val="ListBullet"/>
        <w:ind w:left="317" w:hanging="173"/>
      </w:pPr>
      <w:r>
        <w:t>the relevant transaction or payment trigger has occurred;</w:t>
      </w:r>
    </w:p>
    <w:p>
      <w:pPr>
        <w:pStyle w:val="ListBullet"/>
        <w:ind w:left="317" w:hanging="173"/>
      </w:pPr>
      <w:r>
        <w:t>PSTORA has received the applicable cleared funds;</w:t>
      </w:r>
    </w:p>
    <w:p>
      <w:pPr>
        <w:pStyle w:val="ListBullet"/>
        <w:ind w:left="317" w:hanging="173"/>
      </w:pPr>
      <w:r>
        <w:t>any refund, chargeback, cancellation or dispute position has been resolved or appropriately reserved;</w:t>
      </w:r>
    </w:p>
    <w:p>
      <w:pPr>
        <w:pStyle w:val="ListBullet"/>
        <w:ind w:left="317" w:hanging="173"/>
      </w:pPr>
      <w:r>
        <w:t>PSTORA has reconciled the relevant amount; and</w:t>
      </w:r>
    </w:p>
    <w:p>
      <w:pPr>
        <w:pStyle w:val="ListBullet"/>
        <w:ind w:left="317" w:hanging="173"/>
      </w:pPr>
      <w:r>
        <w:t>The Associate has supplied valid payment and tax information.</w:t>
      </w:r>
    </w:p>
    <w:p>
      <w:r>
        <w:t>No Growth Share £ is due merely because an introduction was made, a meeting took place, a proposal was issued, a contract was signed or a Supplier invoiced the customer, unless Schedule 1 or the applicable commercial rule expressly says otherwise.</w:t>
      </w:r>
    </w:p>
    <w:p>
      <w:pPr>
        <w:pStyle w:val="Heading2"/>
        <w:keepNext/>
      </w:pPr>
      <w:r>
        <w:rPr>
          <w:rFonts w:ascii="Aptos" w:hAnsi="Aptos"/>
          <w:color w:val="373737"/>
        </w:rPr>
        <w:t>19. Net PSTORA Revenue</w:t>
      </w:r>
    </w:p>
    <w:p>
      <w:r>
        <w:t>Where an entitlement is expressed as a percentage of PSTORA’s net receipt, “Net PSTORA Revenue” means the amount actually received by PSTORA in respect of the relevant opportunity or qualifying Supplier/Associate-derived transaction after deduction, where applicable, of VAT or similar sales taxes, refunds, rebates, chargebacks, direct third-party transaction costs, expressly agreed Supplier deductions, taxes required by law and any other deduction expressly identified in Schedule 1. The calculation basis must be transparent.</w:t>
      </w:r>
    </w:p>
    <w:p>
      <w:pPr>
        <w:pStyle w:val="Heading2"/>
        <w:keepNext/>
      </w:pPr>
      <w:r>
        <w:rPr>
          <w:rFonts w:ascii="Aptos" w:hAnsi="Aptos"/>
          <w:color w:val="373737"/>
        </w:rPr>
        <w:t>20. Statements and payment</w:t>
      </w:r>
    </w:p>
    <w:p>
      <w:r>
        <w:t>PSTORA will maintain reasonable records of registered opportunities, Supplier and Associate provenance, attribution, relevant receipts, calculated entitlements, payments, adjustments and disputes. Payments will be made to the Associate’s verified PSTORA Growth Share Account™ or other verified nominated payment account held on file. Payment timing is specified in Schedule 1 or the applicable payment policy.</w:t>
      </w:r>
    </w:p>
    <w:p>
      <w:pPr>
        <w:pStyle w:val="Heading2"/>
        <w:keepNext/>
      </w:pPr>
      <w:r>
        <w:rPr>
          <w:rFonts w:ascii="Aptos" w:hAnsi="Aptos"/>
          <w:color w:val="373737"/>
        </w:rPr>
        <w:t>21. Refunds, reversals and clawbacks</w:t>
      </w:r>
    </w:p>
    <w:p>
      <w:r>
        <w:t>If PSTORA pays the Associate and the underlying amount is later refunded, cancelled, reversed, charged back, found to have been paid in error or materially reduced, PSTORA may make a corresponding adjustment to future payments or request repayment where reasonable. PSTORA will provide reasonable supporting information.</w:t>
      </w:r>
    </w:p>
    <w:p>
      <w:pPr>
        <w:pStyle w:val="Heading2"/>
        <w:keepNext/>
      </w:pPr>
      <w:r>
        <w:rPr>
          <w:rFonts w:ascii="Aptos" w:hAnsi="Aptos"/>
          <w:color w:val="373737"/>
        </w:rPr>
        <w:t>22. No side agreements or circumvention</w:t>
      </w:r>
    </w:p>
    <w:p>
      <w:r>
        <w:t>The Associate must not intentionally circumvent PSTORA’s governance or agreed commercial model. Without prior written approval, the Associate must not arrange undisclosed referral/affiliate fees, divert commission away from PSTORA, conceal transactions, transfer opportunities outside PSTORA to avoid attribution, restructure transactions primarily to avoid PSTORA economics, or encourage another participant to bypass PSTORA. Genuine independent business and genuine pre-existing relationships are not restricted where they are not being used to avoid a PSTORA-originated opportunity.</w:t>
      </w:r>
    </w:p>
    <w:p>
      <w:pPr>
        <w:pStyle w:val="Heading2"/>
        <w:keepNext/>
      </w:pPr>
      <w:r>
        <w:rPr>
          <w:rFonts w:ascii="Aptos" w:hAnsi="Aptos"/>
          <w:color w:val="373737"/>
        </w:rPr>
        <w:t>23. Associate standards</w:t>
      </w:r>
    </w:p>
    <w:p>
      <w:pPr>
        <w:pStyle w:val="ListBullet"/>
        <w:ind w:left="317" w:hanging="173"/>
      </w:pPr>
      <w:r>
        <w:t>act honestly and professionally;</w:t>
      </w:r>
    </w:p>
    <w:p>
      <w:pPr>
        <w:pStyle w:val="ListBullet"/>
        <w:ind w:left="317" w:hanging="173"/>
      </w:pPr>
      <w:r>
        <w:t>place trust before transaction;</w:t>
      </w:r>
    </w:p>
    <w:p>
      <w:pPr>
        <w:pStyle w:val="ListBullet"/>
        <w:ind w:left="317" w:hanging="173"/>
      </w:pPr>
      <w:r>
        <w:t>communicate accurately;</w:t>
      </w:r>
    </w:p>
    <w:p>
      <w:pPr>
        <w:pStyle w:val="ListBullet"/>
        <w:ind w:left="317" w:hanging="173"/>
      </w:pPr>
      <w:r>
        <w:t>act within competence;</w:t>
      </w:r>
    </w:p>
    <w:p>
      <w:pPr>
        <w:pStyle w:val="ListBullet"/>
        <w:ind w:left="317" w:hanging="173"/>
      </w:pPr>
      <w:r>
        <w:t>comply with applicable law and professional obligations;</w:t>
      </w:r>
    </w:p>
    <w:p>
      <w:pPr>
        <w:pStyle w:val="ListBullet"/>
        <w:ind w:left="317" w:hanging="173"/>
      </w:pPr>
      <w:r>
        <w:t>protect confidential information and respect consent/information boundaries;</w:t>
      </w:r>
    </w:p>
    <w:p>
      <w:pPr>
        <w:pStyle w:val="ListBullet"/>
        <w:ind w:left="317" w:hanging="173"/>
      </w:pPr>
      <w:r>
        <w:t>cooperate with reasonable compliance enquiries;</w:t>
      </w:r>
    </w:p>
    <w:p>
      <w:pPr>
        <w:pStyle w:val="ListBullet"/>
        <w:ind w:left="317" w:hanging="173"/>
      </w:pPr>
      <w:r>
        <w:t>treat participants fairly and respectfully;</w:t>
      </w:r>
    </w:p>
    <w:p>
      <w:pPr>
        <w:pStyle w:val="ListBullet"/>
        <w:ind w:left="317" w:hanging="173"/>
      </w:pPr>
      <w:r>
        <w:t>avoid misleading claims, bribery, corruption or improper incentives;</w:t>
      </w:r>
    </w:p>
    <w:p>
      <w:pPr>
        <w:pStyle w:val="ListBullet"/>
        <w:ind w:left="317" w:hanging="173"/>
      </w:pPr>
      <w:r>
        <w:t>maintain appropriate records; and</w:t>
      </w:r>
    </w:p>
    <w:p>
      <w:pPr>
        <w:pStyle w:val="ListBullet"/>
        <w:ind w:left="317" w:hanging="173"/>
      </w:pPr>
      <w:r>
        <w:t>protect the reputation and integrity of PSTORA.</w:t>
      </w:r>
    </w:p>
    <w:p>
      <w:pPr>
        <w:pStyle w:val="Heading2"/>
        <w:keepNext/>
      </w:pPr>
      <w:r>
        <w:rPr>
          <w:rFonts w:ascii="Aptos" w:hAnsi="Aptos"/>
          <w:color w:val="373737"/>
        </w:rPr>
        <w:t>24. Conflicts of interest</w:t>
      </w:r>
    </w:p>
    <w:p>
      <w:r>
        <w:t>The Associate must promptly disclose any actual or potential conflict relevant to a PSTORA opportunity, Supplier or Associate introduction, including financial interests, existing Supplier relationships, referral arrangements, competing engagements, family/personal interests or professional obligations. PSTORA may impose conditions or determine that the Associate should not participate in the relevant matter.</w:t>
      </w:r>
    </w:p>
    <w:p>
      <w:pPr>
        <w:pStyle w:val="Heading2"/>
        <w:keepNext/>
      </w:pPr>
      <w:r>
        <w:rPr>
          <w:rFonts w:ascii="Aptos" w:hAnsi="Aptos"/>
          <w:color w:val="373737"/>
        </w:rPr>
        <w:t>25. Data protection and confidentiality</w:t>
      </w:r>
    </w:p>
    <w:p>
      <w:r>
        <w:t>The Associate must comply with applicable data protection laws and PSTORA’s current privacy and information-security requirements. Customer, Supplier, Associate, pricing, opportunity, relationship and commercially sensitive PSTORA information may be used only for the legitimate purpose for which it was supplied. Confidential information must not be entered into public or unauthorised AI systems. Confidentiality obligations continue after participation ends.</w:t>
      </w:r>
    </w:p>
    <w:p>
      <w:pPr>
        <w:pStyle w:val="Heading2"/>
        <w:keepNext/>
      </w:pPr>
      <w:r>
        <w:rPr>
          <w:rFonts w:ascii="Aptos" w:hAnsi="Aptos"/>
          <w:color w:val="373737"/>
        </w:rPr>
        <w:t>26. Brand and intellectual property</w:t>
      </w:r>
    </w:p>
    <w:p>
      <w:r>
        <w:t>PSTORA owns or licenses its name, logos, branding, platform, governance frameworks, methodology, documentation, training, CRM structures and other intellectual property. The Associate may describe themselves as a “PSTORA Associate” only while active and in accordance with brand guidance. Associate status does not authorise the Associate to register domains, create PSTORA-branded products, issue PSTORA contracts, represent themselves as an employee, sublicense PSTORA materials, or teach/commercialise PSTORA methodology unless expressly authorised.</w:t>
      </w:r>
    </w:p>
    <w:p>
      <w:pPr>
        <w:pStyle w:val="Heading2"/>
        <w:keepNext/>
      </w:pPr>
      <w:r>
        <w:rPr>
          <w:rFonts w:ascii="Aptos" w:hAnsi="Aptos"/>
          <w:color w:val="373737"/>
        </w:rPr>
        <w:t>27. Training, monitoring and audit</w:t>
      </w:r>
    </w:p>
    <w:p>
      <w:r>
        <w:t>PSTORA may require onboarding, governance, Relationship Capital™, compliance or platform/process training before certain permissions are enabled. PSTORA may reasonably audit PSTORA-related activity for attribution, compliance, Supplier/Associate governance, commission calculation, complaints, data security, fraud prevention and quality assurance. The Associate must reasonably cooperate.</w:t>
      </w:r>
    </w:p>
    <w:p>
      <w:pPr>
        <w:pStyle w:val="Heading2"/>
        <w:keepNext/>
      </w:pPr>
      <w:r>
        <w:rPr>
          <w:rFonts w:ascii="Aptos" w:hAnsi="Aptos"/>
          <w:color w:val="373737"/>
        </w:rPr>
        <w:t>28. Suspension</w:t>
      </w:r>
    </w:p>
    <w:p>
      <w:r>
        <w:t>PSTORA may temporarily suspend Associate status, system access, branding rights or affected payments where reasonably necessary because of a compliance review, attribution dispute, suspected fraud, data/security concern, serious complaint, due diligence issue, non-payment/recovery issue or potential material breach. Suspension is not necessarily termination.</w:t>
      </w:r>
    </w:p>
    <w:p>
      <w:pPr>
        <w:pStyle w:val="Heading2"/>
        <w:keepNext/>
      </w:pPr>
      <w:r>
        <w:rPr>
          <w:rFonts w:ascii="Aptos" w:hAnsi="Aptos"/>
          <w:color w:val="373737"/>
        </w:rPr>
        <w:t>29. Termination</w:t>
      </w:r>
    </w:p>
    <w:p>
      <w:r>
        <w:t>Either party may terminate the Associate relationship on 30 days’ written notice. PSTORA may terminate immediately for serious cause, including fraud or dishonesty, deliberate circumvention, serious confidentiality breach, material misuse of PSTORA data/systems, significant regulatory/compliance breach, conduct materially damaging to PSTORA, repeated or unremedied breach, or refusal to cooperate with material due diligence.</w:t>
      </w:r>
    </w:p>
    <w:p>
      <w:pPr>
        <w:pStyle w:val="Heading2"/>
        <w:keepNext/>
      </w:pPr>
      <w:r>
        <w:rPr>
          <w:rFonts w:ascii="Aptos" w:hAnsi="Aptos"/>
          <w:color w:val="373737"/>
        </w:rPr>
        <w:t>30. Position on termination and continuing overrides</w:t>
      </w:r>
    </w:p>
    <w:p>
      <w:r>
        <w:t>Termination does not remove accrued rights properly earned before termination. Subject to dispute or adjustment, PSTORA will account for qualifying transactions validly registered and attributed before termination in accordance with the applicable Schedule.</w:t>
      </w:r>
    </w:p>
    <w:p>
      <w:r>
        <w:t>Unless Schedule 1 expressly states otherwise, the continuing 10% Supplier-introducer and Associate-introducer overrides cease to accrue on new Net PSTORA Revenue after the Associate’s Associate status terminates. Amounts already accrued before termination remain payable subject to reconciliation, refunds, reversals and clawbacks. Any separate Affiliate Programme rights are governed by the Affiliate Programme Agreement.</w:t>
      </w:r>
    </w:p>
    <w:p>
      <w:pPr>
        <w:pStyle w:val="Heading2"/>
        <w:keepNext/>
      </w:pPr>
      <w:r>
        <w:rPr>
          <w:rFonts w:ascii="Aptos" w:hAnsi="Aptos"/>
          <w:color w:val="373737"/>
        </w:rPr>
        <w:t>31. No guaranteed opportunity or income</w:t>
      </w:r>
    </w:p>
    <w:p>
      <w:r>
        <w:t>PSTORA does not guarantee opportunities, introductions, Supplier availability, Associate activity, conversion, transactions, revenue, Growth Share £, Affiliate Commission, minimum earnings or continuing commercial activity. The Associate makes their own decision about whether participation is appropriate.</w:t>
      </w:r>
    </w:p>
    <w:p>
      <w:pPr>
        <w:pStyle w:val="Heading2"/>
        <w:keepNext/>
      </w:pPr>
      <w:r>
        <w:rPr>
          <w:rFonts w:ascii="Aptos" w:hAnsi="Aptos"/>
          <w:color w:val="373737"/>
        </w:rPr>
        <w:t>32. Complaints and disputes</w:t>
      </w:r>
    </w:p>
    <w:p>
      <w:r>
        <w:t>The Associate should first raise any concern with PSTORA HQ. PSTORA will seek to resolve attribution disputes, calculation disputes, conduct concerns and operational complaints fairly and proportionately. Nothing prevents either party seeking urgent legal relief where necessary.</w:t>
      </w:r>
    </w:p>
    <w:p>
      <w:pPr>
        <w:pStyle w:val="Heading2"/>
        <w:keepNext/>
      </w:pPr>
      <w:r>
        <w:rPr>
          <w:rFonts w:ascii="Aptos" w:hAnsi="Aptos"/>
          <w:color w:val="373737"/>
        </w:rPr>
        <w:t>33. Changes to operating procedures</w:t>
      </w:r>
    </w:p>
    <w:p>
      <w:r>
        <w:t>PSTORA may update operational policies and procedures where reasonably necessary. A change will not retrospectively remove a contractual payment entitlement already accrued. Any material change to the Associate’s commercial entitlement requires agreement, an updated Schedule, or application of a commercial rule already incorporated into the relevant opportunity or introduction.</w:t>
      </w:r>
    </w:p>
    <w:p>
      <w:pPr>
        <w:pStyle w:val="Heading2"/>
        <w:keepNext/>
      </w:pPr>
      <w:r>
        <w:rPr>
          <w:rFonts w:ascii="Aptos" w:hAnsi="Aptos"/>
          <w:color w:val="373737"/>
        </w:rPr>
        <w:t>34. General and precedence</w:t>
      </w:r>
    </w:p>
    <w:p>
      <w:r>
        <w:t>These Terms and Schedule 1 form the agreement governing the Associate’s Associate participation, together with documents expressly incorporated by reference. A signed Associate Affiliate Programme Agreement is separate and supplemental. On Affiliate Programme commercial matters, the Affiliate Agreement governs; on Associate status, onboarding, conduct, confidentiality, attribution, Growth Share £ and the continuing Supplier/Associate-introducer overrides in Schedule 1, these Terms govern unless expressly varied in writing.</w:t>
      </w:r>
    </w:p>
    <w:p>
      <w:r>
        <w:t>If a provision is invalid or unenforceable, the remaining provisions continue in effect. Delay or failure to exercise a right does not waive it. Unless expressly stated otherwise, no third party has a right to enforce these Terms under the Contracts (Rights of Third Parties) Act 1999.</w:t>
      </w:r>
    </w:p>
    <w:p>
      <w:pPr>
        <w:pStyle w:val="Heading2"/>
        <w:keepNext/>
      </w:pPr>
      <w:r>
        <w:rPr>
          <w:rFonts w:ascii="Aptos" w:hAnsi="Aptos"/>
          <w:color w:val="373737"/>
        </w:rPr>
        <w:t>35. Governing law</w:t>
      </w:r>
    </w:p>
    <w:p>
      <w:r>
        <w:t>These Terms and Schedule 1 are governed by the law of England and Wales. The courts of England and Wales have jurisdiction, subject to any agreed dispute-resolution procedure.</w:t>
      </w:r>
    </w:p>
    <w:p>
      <w:r>
        <w:br w:type="page"/>
      </w:r>
    </w:p>
    <w:p>
      <w:pPr>
        <w:jc w:val="center"/>
      </w:pPr>
      <w:r>
        <w:rPr>
          <w:b/>
          <w:color w:val="0B2239"/>
          <w:sz w:val="32"/>
        </w:rPr>
        <w:t>SCHEDULE 1</w:t>
      </w:r>
    </w:p>
    <w:p>
      <w:pPr>
        <w:jc w:val="center"/>
      </w:pPr>
      <w:r>
        <w:rPr>
          <w:b/>
          <w:color w:val="B78B2E"/>
          <w:sz w:val="22"/>
        </w:rPr>
        <w:t>ASSOCIATE PARTICIPATION &amp; COMMERCIAL SCHEDULE</w:t>
      </w:r>
    </w:p>
    <w:tbl>
      <w:tblPr>
        <w:tblW w:type="auto" w:w="0"/>
        <w:jc w:val="center"/>
        <w:tblLayout w:type="fixed"/>
        <w:tblLook w:firstColumn="1" w:firstRow="1" w:lastColumn="0" w:lastRow="0" w:noHBand="0" w:noVBand="1" w:val="04A0"/>
      </w:tblPr>
      <w:tblGrid>
        <w:gridCol w:w="3312"/>
        <w:gridCol w:w="5904"/>
      </w:tblGrid>
      <w:tr>
        <w:trPr>
          <w:trHeight w:hRule="auto"/>
        </w:trPr>
        <w:tc>
          <w:tcPr>
            <w:tcW w:type="dxa" w:w="5018"/>
            <w:shd w:fill="F6E8C4"/>
            <w:tcMar>
              <w:top w:w="90" w:type="dxa"/>
              <w:start w:w="120" w:type="dxa"/>
              <w:bottom w:w="90" w:type="dxa"/>
              <w:end w:w="120" w:type="dxa"/>
              <w:left w:w="90" w:type="dxa"/>
              <w:right w:w="90" w:type="dxa"/>
            </w:tcMar>
            <w:vAlign w:val="center"/>
          </w:tcPr>
          <w:p>
            <w:pPr>
              <w:spacing w:after="0"/>
            </w:pPr>
            <w:r>
              <w:rPr>
                <w:rFonts w:ascii="Aptos" w:hAnsi="Aptos"/>
                <w:b/>
                <w:color w:val="373737"/>
                <w:sz w:val="16"/>
              </w:rPr>
              <w:t>Associate name</w:t>
            </w:r>
          </w:p>
        </w:tc>
        <w:tc>
          <w:tcPr>
            <w:tcW w:type="dxa" w:w="5018"/>
            <w:tcMar>
              <w:top w:w="90" w:type="dxa"/>
              <w:start w:w="120" w:type="dxa"/>
              <w:bottom w:w="90" w:type="dxa"/>
              <w:end w:w="120" w:type="dxa"/>
              <w:left w:w="90" w:type="dxa"/>
              <w:right w:w="90" w:type="dxa"/>
            </w:tcMar>
            <w:vAlign w:val="center"/>
            <w:shd w:fill="F6E8C4"/>
          </w:tcPr>
          <w:p>
            <w:pPr>
              <w:spacing w:after="0"/>
            </w:pPr>
            <w:r>
              <w:rPr>
                <w:rFonts w:ascii="Aptos" w:hAnsi="Aptos"/>
                <w:b/>
                <w:color w:val="373737"/>
                <w:sz w:val="16"/>
              </w:rPr>
              <w:t>[Associate name]</w:t>
            </w:r>
          </w:p>
        </w:tc>
      </w:tr>
      <w:tr>
        <w:trPr>
          <w:trHeight w:hRule="auto"/>
        </w:trPr>
        <w:tc>
          <w:tcPr>
            <w:tcW w:type="dxa" w:w="5018"/>
            <w:shd w:fill="E7EBEF"/>
            <w:tcMar>
              <w:top w:w="90" w:type="dxa"/>
              <w:start w:w="120" w:type="dxa"/>
              <w:bottom w:w="90" w:type="dxa"/>
              <w:end w:w="120" w:type="dxa"/>
              <w:left w:w="90" w:type="dxa"/>
              <w:right w:w="90" w:type="dxa"/>
            </w:tcMar>
            <w:vAlign w:val="center"/>
          </w:tcPr>
          <w:p>
            <w:pPr>
              <w:spacing w:after="0"/>
            </w:pPr>
            <w:r>
              <w:rPr>
                <w:rFonts w:ascii="Aptos" w:hAnsi="Aptos"/>
                <w:b/>
                <w:sz w:val="16"/>
              </w:rPr>
              <w:t>Individual / Company</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[Individual / Company]</w:t>
            </w:r>
          </w:p>
        </w:tc>
      </w:tr>
      <w:tr>
        <w:trPr>
          <w:trHeight w:hRule="auto"/>
        </w:trPr>
        <w:tc>
          <w:tcPr>
            <w:tcW w:type="dxa" w:w="5018"/>
            <w:shd w:fill="E7EBEF"/>
            <w:tcMar>
              <w:top w:w="90" w:type="dxa"/>
              <w:start w:w="120" w:type="dxa"/>
              <w:bottom w:w="90" w:type="dxa"/>
              <w:end w:w="120" w:type="dxa"/>
              <w:left w:w="90" w:type="dxa"/>
              <w:right w:w="90" w:type="dxa"/>
            </w:tcMar>
            <w:vAlign w:val="center"/>
          </w:tcPr>
          <w:p>
            <w:pPr>
              <w:spacing w:after="0"/>
            </w:pPr>
            <w:r>
              <w:rPr>
                <w:rFonts w:ascii="Aptos" w:hAnsi="Aptos"/>
                <w:b/>
                <w:sz w:val="16"/>
              </w:rPr>
              <w:t>Company number (if applicable)</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[Company number, if applicable]</w:t>
            </w:r>
          </w:p>
        </w:tc>
      </w:tr>
      <w:tr>
        <w:trPr>
          <w:trHeight w:hRule="auto"/>
        </w:trPr>
        <w:tc>
          <w:tcPr>
            <w:tcW w:type="dxa" w:w="5018"/>
            <w:shd w:fill="E7EBEF"/>
            <w:tcMar>
              <w:top w:w="90" w:type="dxa"/>
              <w:start w:w="120" w:type="dxa"/>
              <w:bottom w:w="90" w:type="dxa"/>
              <w:end w:w="120" w:type="dxa"/>
              <w:left w:w="90" w:type="dxa"/>
              <w:right w:w="90" w:type="dxa"/>
            </w:tcMar>
            <w:vAlign w:val="center"/>
          </w:tcPr>
          <w:p>
            <w:pPr>
              <w:spacing w:after="0"/>
            </w:pPr>
            <w:r>
              <w:rPr>
                <w:rFonts w:ascii="Aptos" w:hAnsi="Aptos"/>
                <w:b/>
                <w:sz w:val="16"/>
              </w:rPr>
              <w:t>Address</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To be completed</w:t>
            </w:r>
          </w:p>
        </w:tc>
      </w:tr>
      <w:tr>
        <w:trPr>
          <w:trHeight w:hRule="auto"/>
        </w:trPr>
        <w:tc>
          <w:tcPr>
            <w:tcW w:type="dxa" w:w="5018"/>
            <w:shd w:fill="E7EBEF"/>
            <w:tcMar>
              <w:top w:w="90" w:type="dxa"/>
              <w:start w:w="120" w:type="dxa"/>
              <w:bottom w:w="90" w:type="dxa"/>
              <w:end w:w="120" w:type="dxa"/>
              <w:left w:w="90" w:type="dxa"/>
              <w:right w:w="90" w:type="dxa"/>
            </w:tcMar>
            <w:vAlign w:val="center"/>
          </w:tcPr>
          <w:p>
            <w:pPr>
              <w:spacing w:after="0"/>
            </w:pPr>
            <w:r>
              <w:rPr>
                <w:rFonts w:ascii="Aptos" w:hAnsi="Aptos"/>
                <w:b/>
                <w:sz w:val="16"/>
              </w:rPr>
              <w:t>Email</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To be completed</w:t>
            </w:r>
          </w:p>
        </w:tc>
      </w:tr>
      <w:tr>
        <w:trPr>
          <w:trHeight w:hRule="auto"/>
        </w:trPr>
        <w:tc>
          <w:tcPr>
            <w:tcW w:type="dxa" w:w="5018"/>
            <w:shd w:fill="E7EBEF"/>
            <w:tcMar>
              <w:top w:w="90" w:type="dxa"/>
              <w:start w:w="120" w:type="dxa"/>
              <w:bottom w:w="90" w:type="dxa"/>
              <w:end w:w="120" w:type="dxa"/>
              <w:left w:w="90" w:type="dxa"/>
              <w:right w:w="90" w:type="dxa"/>
            </w:tcMar>
            <w:vAlign w:val="center"/>
          </w:tcPr>
          <w:p>
            <w:pPr>
              <w:spacing w:after="0"/>
            </w:pPr>
            <w:r>
              <w:rPr>
                <w:rFonts w:ascii="Aptos" w:hAnsi="Aptos"/>
                <w:b/>
                <w:sz w:val="16"/>
              </w:rPr>
              <w:t>Telephone</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To be completed</w:t>
            </w:r>
          </w:p>
        </w:tc>
      </w:tr>
      <w:tr>
        <w:trPr>
          <w:trHeight w:hRule="auto"/>
        </w:trPr>
        <w:tc>
          <w:tcPr>
            <w:tcW w:type="dxa" w:w="5018"/>
            <w:shd w:fill="E7EBEF"/>
            <w:tcMar>
              <w:top w:w="90" w:type="dxa"/>
              <w:start w:w="120" w:type="dxa"/>
              <w:bottom w:w="90" w:type="dxa"/>
              <w:end w:w="120" w:type="dxa"/>
              <w:left w:w="90" w:type="dxa"/>
              <w:right w:w="90" w:type="dxa"/>
            </w:tcMar>
            <w:vAlign w:val="center"/>
          </w:tcPr>
          <w:p>
            <w:pPr>
              <w:spacing w:after="0"/>
            </w:pPr>
            <w:r>
              <w:rPr>
                <w:rFonts w:ascii="Aptos" w:hAnsi="Aptos"/>
                <w:b/>
                <w:sz w:val="16"/>
              </w:rPr>
              <w:t>Commencement Date</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To be completed on activation</w:t>
            </w:r>
          </w:p>
        </w:tc>
      </w:tr>
      <w:tr>
        <w:trPr>
          <w:trHeight w:hRule="auto"/>
        </w:trPr>
        <w:tc>
          <w:tcPr>
            <w:tcW w:type="dxa" w:w="5018"/>
            <w:shd w:fill="E7EBEF"/>
            <w:tcMar>
              <w:top w:w="90" w:type="dxa"/>
              <w:start w:w="120" w:type="dxa"/>
              <w:bottom w:w="90" w:type="dxa"/>
              <w:end w:w="120" w:type="dxa"/>
              <w:left w:w="90" w:type="dxa"/>
              <w:right w:w="90" w:type="dxa"/>
            </w:tcMar>
            <w:vAlign w:val="center"/>
          </w:tcPr>
          <w:p>
            <w:pPr>
              <w:spacing w:after="0"/>
            </w:pPr>
            <w:r>
              <w:rPr>
                <w:rFonts w:ascii="Aptos" w:hAnsi="Aptos"/>
                <w:b/>
                <w:sz w:val="16"/>
              </w:rPr>
              <w:t>Associate ID</w:t>
            </w:r>
          </w:p>
        </w:tc>
        <w:tc>
          <w:tcPr>
            <w:tcW w:type="dxa" w:w="5018"/>
            <w:tcMar>
              <w:top w:w="90" w:type="dxa"/>
              <w:start w:w="120" w:type="dxa"/>
              <w:bottom w:w="90" w:type="dxa"/>
              <w:end w:w="120" w:type="dxa"/>
              <w:left w:w="90" w:type="dxa"/>
              <w:right w:w="90" w:type="dxa"/>
            </w:tcMar>
            <w:vAlign w:val="center"/>
          </w:tcPr>
          <w:p>
            <w:pPr>
              <w:spacing w:after="0"/>
            </w:pPr>
            <w:r>
              <w:rPr>
                <w:rFonts w:ascii="Aptos" w:hAnsi="Aptos"/>
                <w:sz w:val="16"/>
              </w:rPr>
              <w:t>To be issued by PSTORA</w:t>
            </w:r>
          </w:p>
        </w:tc>
      </w:tr>
    </w:tbl>
    <w:p>
      <w:pPr>
        <w:pStyle w:val="Heading2"/>
        <w:keepNext/>
      </w:pPr>
      <w:r>
        <w:rPr>
          <w:rFonts w:ascii="Aptos" w:hAnsi="Aptos"/>
          <w:color w:val="373737"/>
        </w:rPr>
        <w:t>Capacity</w:t>
      </w:r>
    </w:p>
    <w:p>
      <w:r>
        <w:t>☐ Personally    ☐ Through company    ☐ Both, where approved</w:t>
      </w:r>
    </w:p>
    <w:p>
      <w:pPr>
        <w:pStyle w:val="Heading2"/>
        <w:keepNext/>
      </w:pPr>
      <w:r>
        <w:rPr>
          <w:rFonts w:ascii="Aptos" w:hAnsi="Aptos"/>
          <w:color w:val="373737"/>
        </w:rPr>
        <w:t>Approved role / scope</w:t>
      </w:r>
    </w:p>
    <w:p>
      <w:r>
        <w:t>Demand identification; appropriate commercial introductions; Supplier origination; Associate origination; strategic relationships; specialist sector activity; other activity approved by PSTORA HQ.</w:t>
      </w:r>
    </w:p>
    <w:p>
      <w:pPr>
        <w:pStyle w:val="Heading2"/>
        <w:keepNext/>
      </w:pPr>
      <w:r>
        <w:rPr>
          <w:rFonts w:ascii="Aptos" w:hAnsi="Aptos"/>
          <w:color w:val="373737"/>
        </w:rPr>
        <w:t>Territory / sector limitations</w:t>
      </w:r>
    </w:p>
    <w:p>
      <w:r>
        <w:t>None unless separately notified in writing by PSTORA HQ.</w:t>
      </w:r>
    </w:p>
    <w:tbl>
      <w:tblPr>
        <w:tblW w:type="auto" w:w="0"/>
        <w:jc w:val="center"/>
        <w:tblLayout w:type="fixed"/>
        <w:tblLook w:firstColumn="1" w:firstRow="1" w:lastColumn="0" w:lastRow="0" w:noHBand="0" w:noVBand="1" w:val="04A0"/>
      </w:tblPr>
      <w:tblGrid>
        <w:gridCol w:w="2880"/>
        <w:gridCol w:w="2016"/>
        <w:gridCol w:w="4464"/>
      </w:tblGrid>
      <w:tr>
        <w:trPr>
          <w:trHeight w:hRule="auto"/>
          <w:tblHeader w:val="true"/>
        </w:trPr>
        <w:tc>
          <w:tcPr>
            <w:tcW w:type="dxa" w:w="3346"/>
            <w:shd w:fill="F6E8C4"/>
            <w:tcMar>
              <w:top w:w="90" w:type="dxa"/>
              <w:start w:w="120" w:type="dxa"/>
              <w:bottom w:w="90" w:type="dxa"/>
              <w:end w:w="120" w:type="dxa"/>
              <w:left w:w="90" w:type="dxa"/>
              <w:right w:w="90" w:type="dxa"/>
            </w:tcMar>
          </w:tcPr>
          <w:p>
            <w:pPr>
              <w:spacing w:after="0"/>
            </w:pPr>
            <w:r>
              <w:rPr>
                <w:rFonts w:ascii="Aptos" w:hAnsi="Aptos"/>
                <w:b/>
                <w:color w:val="373737"/>
                <w:sz w:val="16"/>
              </w:rPr>
              <w:t>Commercial entitlement</w:t>
            </w:r>
          </w:p>
        </w:tc>
        <w:tc>
          <w:tcPr>
            <w:tcW w:type="dxa" w:w="3346"/>
            <w:shd w:fill="F6E8C4"/>
            <w:tcMar>
              <w:top w:w="90" w:type="dxa"/>
              <w:start w:w="120" w:type="dxa"/>
              <w:bottom w:w="90" w:type="dxa"/>
              <w:end w:w="120" w:type="dxa"/>
              <w:left w:w="90" w:type="dxa"/>
              <w:right w:w="90" w:type="dxa"/>
            </w:tcMar>
          </w:tcPr>
          <w:p>
            <w:pPr>
              <w:spacing w:after="0"/>
            </w:pPr>
            <w:r>
              <w:rPr>
                <w:rFonts w:ascii="Aptos" w:hAnsi="Aptos"/>
                <w:b/>
                <w:color w:val="373737"/>
                <w:sz w:val="16"/>
              </w:rPr>
              <w:t>Rate</w:t>
            </w:r>
          </w:p>
        </w:tc>
        <w:tc>
          <w:tcPr>
            <w:tcW w:type="dxa" w:w="3346"/>
            <w:shd w:fill="F6E8C4"/>
            <w:tcMar>
              <w:top w:w="90" w:type="dxa"/>
              <w:start w:w="120" w:type="dxa"/>
              <w:bottom w:w="90" w:type="dxa"/>
              <w:end w:w="120" w:type="dxa"/>
              <w:left w:w="90" w:type="dxa"/>
              <w:right w:w="90" w:type="dxa"/>
            </w:tcMar>
          </w:tcPr>
          <w:p>
            <w:pPr>
              <w:spacing w:after="0"/>
            </w:pPr>
            <w:r>
              <w:rPr>
                <w:rFonts w:ascii="Aptos" w:hAnsi="Aptos"/>
                <w:b/>
                <w:color w:val="373737"/>
                <w:sz w:val="16"/>
              </w:rPr>
              <w:t>Basis</w:t>
            </w:r>
          </w:p>
        </w:tc>
      </w:tr>
      <w:tr>
        <w:trPr>
          <w:trHeight w:hRule="auto"/>
        </w:trPr>
        <w:tc>
          <w:tcPr>
            <w:tcW w:type="dxa" w:w="2880"/>
            <w:tcMar>
              <w:top w:w="90" w:type="dxa"/>
              <w:start w:w="120" w:type="dxa"/>
              <w:bottom w:w="90" w:type="dxa"/>
              <w:end w:w="120" w:type="dxa"/>
              <w:left w:w="90" w:type="dxa"/>
              <w:right w:w="90" w:type="dxa"/>
            </w:tcMar>
            <w:vAlign w:val="center"/>
          </w:tcPr>
          <w:p>
            <w:pPr>
              <w:spacing w:after="0"/>
            </w:pPr>
            <w:r>
              <w:rPr>
                <w:rFonts w:ascii="Aptos" w:hAnsi="Aptos"/>
                <w:b/>
                <w:sz w:val="16"/>
              </w:rPr>
              <w:t>Direct opportunity Growth Share £</w:t>
            </w:r>
          </w:p>
        </w:tc>
        <w:tc>
          <w:tcPr>
            <w:tcW w:type="dxa" w:w="2016"/>
            <w:tcMar>
              <w:top w:w="90" w:type="dxa"/>
              <w:start w:w="120" w:type="dxa"/>
              <w:bottom w:w="90" w:type="dxa"/>
              <w:end w:w="120" w:type="dxa"/>
              <w:left w:w="90" w:type="dxa"/>
              <w:right w:w="90" w:type="dxa"/>
            </w:tcMar>
            <w:vAlign w:val="center"/>
          </w:tcPr>
          <w:p>
            <w:pPr>
              <w:spacing w:after="0"/>
            </w:pPr>
            <w:r>
              <w:rPr>
                <w:rFonts w:ascii="Aptos" w:hAnsi="Aptos"/>
                <w:b/>
                <w:color w:val="B78B2E"/>
                <w:sz w:val="16"/>
              </w:rPr>
              <w:t>40%</w:t>
            </w:r>
          </w:p>
        </w:tc>
        <w:tc>
          <w:tcPr>
            <w:tcW w:type="dxa" w:w="4464"/>
            <w:tcMar>
              <w:top w:w="90" w:type="dxa"/>
              <w:start w:w="120" w:type="dxa"/>
              <w:bottom w:w="90" w:type="dxa"/>
              <w:end w:w="120" w:type="dxa"/>
              <w:left w:w="90" w:type="dxa"/>
              <w:right w:w="90" w:type="dxa"/>
            </w:tcMar>
            <w:vAlign w:val="center"/>
          </w:tcPr>
          <w:p>
            <w:pPr>
              <w:spacing w:after="0"/>
            </w:pPr>
            <w:r>
              <w:rPr>
                <w:rFonts w:ascii="Aptos" w:hAnsi="Aptos"/>
                <w:sz w:val="16"/>
              </w:rPr>
              <w:t>40% of Net PSTORA Revenue received in respect of a qualifying opportunity validly originated and attributed to the Associate, unless an approved opportunity-specific rule states otherwise.</w:t>
            </w:r>
          </w:p>
        </w:tc>
      </w:tr>
      <w:tr>
        <w:trPr>
          <w:trHeight w:hRule="auto"/>
        </w:trPr>
        <w:tc>
          <w:tcPr>
            <w:tcW w:type="dxa" w:w="2880"/>
            <w:tcMar>
              <w:top w:w="90" w:type="dxa"/>
              <w:start w:w="120" w:type="dxa"/>
              <w:bottom w:w="90" w:type="dxa"/>
              <w:end w:w="120" w:type="dxa"/>
              <w:left w:w="90" w:type="dxa"/>
              <w:right w:w="90" w:type="dxa"/>
            </w:tcMar>
            <w:vAlign w:val="center"/>
          </w:tcPr>
          <w:p>
            <w:pPr>
              <w:spacing w:after="0"/>
            </w:pPr>
            <w:r>
              <w:rPr>
                <w:rFonts w:ascii="Aptos" w:hAnsi="Aptos"/>
                <w:b/>
                <w:sz w:val="16"/>
              </w:rPr>
              <w:t>Supplier introduction override</w:t>
            </w:r>
          </w:p>
        </w:tc>
        <w:tc>
          <w:tcPr>
            <w:tcW w:type="dxa" w:w="2016"/>
            <w:tcMar>
              <w:top w:w="90" w:type="dxa"/>
              <w:start w:w="120" w:type="dxa"/>
              <w:bottom w:w="90" w:type="dxa"/>
              <w:end w:w="120" w:type="dxa"/>
              <w:left w:w="90" w:type="dxa"/>
              <w:right w:w="90" w:type="dxa"/>
            </w:tcMar>
            <w:vAlign w:val="center"/>
          </w:tcPr>
          <w:p>
            <w:pPr>
              <w:spacing w:after="0"/>
            </w:pPr>
            <w:r>
              <w:rPr>
                <w:rFonts w:ascii="Aptos" w:hAnsi="Aptos"/>
                <w:b/>
                <w:color w:val="B78B2E"/>
                <w:sz w:val="16"/>
              </w:rPr>
              <w:t>10%</w:t>
            </w:r>
          </w:p>
        </w:tc>
        <w:tc>
          <w:tcPr>
            <w:tcW w:type="dxa" w:w="4464"/>
            <w:tcMar>
              <w:top w:w="90" w:type="dxa"/>
              <w:start w:w="120" w:type="dxa"/>
              <w:bottom w:w="90" w:type="dxa"/>
              <w:end w:w="120" w:type="dxa"/>
              <w:left w:w="90" w:type="dxa"/>
              <w:right w:w="90" w:type="dxa"/>
            </w:tcMar>
            <w:vAlign w:val="center"/>
          </w:tcPr>
          <w:p>
            <w:pPr>
              <w:spacing w:after="0"/>
            </w:pPr>
            <w:r>
              <w:rPr>
                <w:rFonts w:ascii="Aptos" w:hAnsi="Aptos"/>
                <w:sz w:val="16"/>
              </w:rPr>
              <w:t>Additional 10% of Net PSTORA Revenue actually received by PSTORA from qualifying transactions with a Supplier introduced by the Associate and accepted for Supplier-introducer attribution, while the conditions in these Terms apply.</w:t>
            </w:r>
          </w:p>
        </w:tc>
      </w:tr>
      <w:tr>
        <w:trPr>
          <w:trHeight w:hRule="auto"/>
        </w:trPr>
        <w:tc>
          <w:tcPr>
            <w:tcW w:type="dxa" w:w="2880"/>
            <w:tcMar>
              <w:top w:w="90" w:type="dxa"/>
              <w:start w:w="120" w:type="dxa"/>
              <w:bottom w:w="90" w:type="dxa"/>
              <w:end w:w="120" w:type="dxa"/>
              <w:left w:w="90" w:type="dxa"/>
              <w:right w:w="90" w:type="dxa"/>
            </w:tcMar>
            <w:vAlign w:val="center"/>
          </w:tcPr>
          <w:p>
            <w:pPr>
              <w:spacing w:after="0"/>
            </w:pPr>
            <w:r>
              <w:rPr>
                <w:rFonts w:ascii="Aptos" w:hAnsi="Aptos"/>
                <w:b/>
                <w:sz w:val="16"/>
              </w:rPr>
              <w:t>Associate introduction override</w:t>
            </w:r>
          </w:p>
        </w:tc>
        <w:tc>
          <w:tcPr>
            <w:tcW w:type="dxa" w:w="2016"/>
            <w:tcMar>
              <w:top w:w="90" w:type="dxa"/>
              <w:start w:w="120" w:type="dxa"/>
              <w:bottom w:w="90" w:type="dxa"/>
              <w:end w:w="120" w:type="dxa"/>
              <w:left w:w="90" w:type="dxa"/>
              <w:right w:w="90" w:type="dxa"/>
            </w:tcMar>
            <w:vAlign w:val="center"/>
          </w:tcPr>
          <w:p>
            <w:pPr>
              <w:spacing w:after="0"/>
            </w:pPr>
            <w:r>
              <w:rPr>
                <w:rFonts w:ascii="Aptos" w:hAnsi="Aptos"/>
                <w:b/>
                <w:color w:val="B78B2E"/>
                <w:sz w:val="16"/>
              </w:rPr>
              <w:t>10%</w:t>
            </w:r>
          </w:p>
        </w:tc>
        <w:tc>
          <w:tcPr>
            <w:tcW w:type="dxa" w:w="4464"/>
            <w:tcMar>
              <w:top w:w="90" w:type="dxa"/>
              <w:start w:w="120" w:type="dxa"/>
              <w:bottom w:w="90" w:type="dxa"/>
              <w:end w:w="120" w:type="dxa"/>
              <w:left w:w="90" w:type="dxa"/>
              <w:right w:w="90" w:type="dxa"/>
            </w:tcMar>
            <w:vAlign w:val="center"/>
          </w:tcPr>
          <w:p>
            <w:pPr>
              <w:spacing w:after="0"/>
            </w:pPr>
            <w:r>
              <w:rPr>
                <w:rFonts w:ascii="Aptos" w:hAnsi="Aptos"/>
                <w:sz w:val="16"/>
              </w:rPr>
              <w:t>Additional 10% of Net PSTORA Revenue actually received by PSTORA from qualifying transactions validly originated and attributed to an Associate introduced by the Associate and accepted for Associate-introducer attribution, while the conditions in these Terms apply.</w:t>
            </w:r>
          </w:p>
        </w:tc>
      </w:tr>
      <w:tr>
        <w:trPr>
          <w:trHeight w:hRule="auto"/>
        </w:trPr>
        <w:tc>
          <w:tcPr>
            <w:tcW w:type="dxa" w:w="2880"/>
            <w:tcMar>
              <w:top w:w="90" w:type="dxa"/>
              <w:start w:w="120" w:type="dxa"/>
              <w:bottom w:w="90" w:type="dxa"/>
              <w:end w:w="120" w:type="dxa"/>
              <w:left w:w="90" w:type="dxa"/>
              <w:right w:w="90" w:type="dxa"/>
            </w:tcMar>
            <w:vAlign w:val="center"/>
          </w:tcPr>
          <w:p>
            <w:pPr>
              <w:spacing w:after="0"/>
            </w:pPr>
            <w:r>
              <w:rPr>
                <w:rFonts w:ascii="Aptos" w:hAnsi="Aptos"/>
                <w:b/>
                <w:sz w:val="16"/>
              </w:rPr>
              <w:t>Affiliate Programme commission</w:t>
            </w:r>
          </w:p>
        </w:tc>
        <w:tc>
          <w:tcPr>
            <w:tcW w:type="dxa" w:w="2016"/>
            <w:tcMar>
              <w:top w:w="90" w:type="dxa"/>
              <w:start w:w="120" w:type="dxa"/>
              <w:bottom w:w="90" w:type="dxa"/>
              <w:end w:w="120" w:type="dxa"/>
              <w:left w:w="90" w:type="dxa"/>
              <w:right w:w="90" w:type="dxa"/>
            </w:tcMar>
            <w:vAlign w:val="center"/>
          </w:tcPr>
          <w:p>
            <w:pPr>
              <w:spacing w:after="0"/>
            </w:pPr>
            <w:r>
              <w:rPr>
                <w:rFonts w:ascii="Aptos" w:hAnsi="Aptos"/>
                <w:b/>
                <w:color w:val="B78B2E"/>
                <w:sz w:val="16"/>
              </w:rPr>
              <w:t>Separate</w:t>
            </w:r>
          </w:p>
        </w:tc>
        <w:tc>
          <w:tcPr>
            <w:tcW w:type="dxa" w:w="4464"/>
            <w:tcMar>
              <w:top w:w="90" w:type="dxa"/>
              <w:start w:w="120" w:type="dxa"/>
              <w:bottom w:w="90" w:type="dxa"/>
              <w:end w:w="120" w:type="dxa"/>
              <w:left w:w="90" w:type="dxa"/>
              <w:right w:w="90" w:type="dxa"/>
            </w:tcMar>
            <w:vAlign w:val="center"/>
          </w:tcPr>
          <w:p>
            <w:pPr>
              <w:spacing w:after="0"/>
            </w:pPr>
            <w:r>
              <w:rPr>
                <w:rFonts w:ascii="Aptos" w:hAnsi="Aptos"/>
                <w:sz w:val="16"/>
              </w:rPr>
              <w:t>Only if the Associate signs the separate PSTORA Associate Affiliate Programme Agreement. Affiliate Commission is separate from Growth Share £ and the continuing 10% overrides under this Schedule.</w:t>
            </w:r>
          </w:p>
        </w:tc>
      </w:tr>
    </w:tbl>
    <w:p>
      <w:pPr>
        <w:pStyle w:val="Heading2"/>
        <w:keepNext/>
      </w:pPr>
      <w:r>
        <w:rPr>
          <w:rFonts w:ascii="Aptos" w:hAnsi="Aptos"/>
          <w:color w:val="373737"/>
        </w:rPr>
        <w:t>Stacking</w:t>
      </w:r>
    </w:p>
    <w:p>
      <w:r>
        <w:t>Where the Associate validly earns more than one distinct entitlement, the entitlements may apply together. In particular, the Associate may receive 40% Direct Opportunity Growth Share £ plus the applicable 10% Supplier-introduction override where the Associate both introduced the Supplier and separately originated the qualifying opportunity. Affiliate Programme commission may also be payable where independently earned under a signed Affiliate Programme Agreement.</w:t>
      </w:r>
    </w:p>
    <w:p>
      <w:pPr>
        <w:pStyle w:val="Heading2"/>
        <w:keepNext/>
      </w:pPr>
      <w:r>
        <w:rPr>
          <w:rFonts w:ascii="Aptos" w:hAnsi="Aptos"/>
          <w:color w:val="373737"/>
        </w:rPr>
        <w:t>Shared attribution</w:t>
      </w:r>
    </w:p>
    <w:p>
      <w:r>
        <w:t>PSTORA may approve a documented split between contributing Associates before payment. Any shared-attribution decision applies to the relevant direct opportunity entitlement and does not automatically alter a separately earned Supplier-introducer or Associate-introducer override unless PSTORA records otherwise.</w:t>
      </w:r>
    </w:p>
    <w:p>
      <w:pPr>
        <w:pStyle w:val="Heading2"/>
        <w:keepNext/>
      </w:pPr>
      <w:r>
        <w:rPr>
          <w:rFonts w:ascii="Aptos" w:hAnsi="Aptos"/>
          <w:color w:val="373737"/>
        </w:rPr>
        <w:t>Payment timing</w:t>
      </w:r>
    </w:p>
    <w:p>
      <w:r>
        <w:t>PSTORA will normally account for payable Growth Share £ within 10 business days after reconciliation of the relevant cleared receipt, subject to the payment conditions, refunds/reversals and any compliance hold.</w:t>
      </w:r>
    </w:p>
    <w:p>
      <w:pPr>
        <w:pStyle w:val="Heading2"/>
        <w:keepNext/>
      </w:pPr>
      <w:r>
        <w:rPr>
          <w:rFonts w:ascii="Aptos" w:hAnsi="Aptos"/>
          <w:color w:val="373737"/>
        </w:rPr>
        <w:t>Existing relationships disclosed at commencement</w:t>
      </w:r>
    </w:p>
    <w:p>
      <w:r>
        <w:t>To be disclosed by the Associate during onboarding and recorded by PSTORA HQ as appropriate.</w:t>
      </w:r>
    </w:p>
    <w:p>
      <w:pPr>
        <w:pStyle w:val="Heading2"/>
        <w:keepNext/>
      </w:pPr>
      <w:r>
        <w:rPr>
          <w:rFonts w:ascii="Aptos" w:hAnsi="Aptos"/>
          <w:color w:val="373737"/>
        </w:rPr>
        <w:t>Specific exclusions / conflicts</w:t>
      </w:r>
    </w:p>
    <w:p>
      <w:r>
        <w:t>To be completed during onboarding. Any employer, regulatory, professional, contractual or conflict restriction disclosed by the Associate may limit or condition participation in a particular opportunity or introduction.</w:t>
      </w:r>
    </w:p>
    <w:p>
      <w:pPr>
        <w:pStyle w:val="Heading2"/>
        <w:keepNext/>
      </w:pPr>
      <w:r>
        <w:rPr>
          <w:rFonts w:ascii="Aptos" w:hAnsi="Aptos"/>
          <w:color w:val="373737"/>
        </w:rPr>
        <w:t>Training / onboarding requirements</w:t>
      </w:r>
    </w:p>
    <w:p>
      <w:r>
        <w:t>☐ Associate onboarding    ☐ Master Relationship Capital™    ☐ Compliance training    ☐ Platform/process training    ☐ Other</w:t>
      </w:r>
    </w:p>
    <w:p>
      <w:pPr>
        <w:pStyle w:val="Heading2"/>
        <w:keepNext/>
      </w:pPr>
      <w:r>
        <w:rPr>
          <w:rFonts w:ascii="Aptos" w:hAnsi="Aptos"/>
          <w:color w:val="373737"/>
        </w:rPr>
        <w:t>Separate Affiliate Programme condition</w:t>
      </w:r>
    </w:p>
    <w:p>
      <w:r>
        <w:t>The Associate is eligible to participate in the PSTORA Associate Affiliate Programme only after this Agreement is signed, the Associate is activated as a PSTORA Associate, and the separate Affiliate Programme Agreement is signed. Loss or termination of active Associate status suspends or ends Affiliate Programme eligibility in accordance with that separate agreement.</w:t>
      </w:r>
    </w:p>
    <w:p>
      <w:pPr>
        <w:pStyle w:val="Heading2"/>
        <w:keepNext/>
      </w:pPr>
      <w:r>
        <w:rPr>
          <w:rFonts w:ascii="Aptos" w:hAnsi="Aptos"/>
          <w:color w:val="373737"/>
        </w:rPr>
        <w:t>Signatures</w:t>
      </w:r>
    </w:p>
    <w:tbl>
      <w:tblPr>
        <w:tblW w:type="auto" w:w="0"/>
        <w:jc w:val="center"/>
        <w:tblLayout w:type="fixed"/>
        <w:tblLook w:firstColumn="1" w:firstRow="1" w:lastColumn="0" w:lastRow="0" w:noHBand="0" w:noVBand="1" w:val="04A0"/>
      </w:tblPr>
      <w:tblGrid>
        <w:gridCol w:w="4536"/>
        <w:gridCol w:w="4536"/>
      </w:tblGrid>
      <w:tr>
        <w:trPr>
          <w:trHeight w:hRule="auto"/>
        </w:trPr>
        <w:tc>
          <w:tcPr>
            <w:tcW w:type="dxa" w:w="5018"/>
            <w:shd w:fill="F6E8C4"/>
            <w:tcMar>
              <w:top w:w="90" w:type="dxa"/>
              <w:start w:w="120" w:type="dxa"/>
              <w:bottom w:w="90" w:type="dxa"/>
              <w:end w:w="120" w:type="dxa"/>
              <w:left w:w="90" w:type="dxa"/>
              <w:right w:w="90" w:type="dxa"/>
            </w:tcMar>
          </w:tcPr>
          <w:p>
            <w:pPr>
              <w:spacing w:after="0"/>
            </w:pPr>
            <w:r>
              <w:rPr>
                <w:rFonts w:ascii="Aptos" w:hAnsi="Aptos"/>
                <w:b/>
                <w:color w:val="373737"/>
                <w:sz w:val="16"/>
              </w:rPr>
              <w:t>For PSTORA LIMITED</w:t>
            </w:r>
          </w:p>
        </w:tc>
        <w:tc>
          <w:tcPr>
            <w:tcW w:type="dxa" w:w="5018"/>
            <w:shd w:fill="F6E8C4"/>
            <w:tcMar>
              <w:top w:w="90" w:type="dxa"/>
              <w:start w:w="120" w:type="dxa"/>
              <w:bottom w:w="90" w:type="dxa"/>
              <w:end w:w="120" w:type="dxa"/>
              <w:left w:w="90" w:type="dxa"/>
              <w:right w:w="90" w:type="dxa"/>
            </w:tcMar>
          </w:tcPr>
          <w:p>
            <w:pPr>
              <w:spacing w:after="0"/>
            </w:pPr>
            <w:r>
              <w:rPr>
                <w:rFonts w:ascii="Aptos" w:hAnsi="Aptos"/>
                <w:b/>
                <w:color w:val="373737"/>
                <w:sz w:val="16"/>
              </w:rPr>
              <w:t>[Associate name]</w:t>
            </w:r>
          </w:p>
        </w:tc>
      </w:tr>
      <w:tr>
        <w:trPr>
          <w:trHeight w:hRule="auto"/>
        </w:trPr>
        <w:tc>
          <w:tcPr>
            <w:tcW w:type="dxa" w:w="5018"/>
            <w:tcMar>
              <w:top w:w="90" w:type="dxa"/>
              <w:start w:w="120" w:type="dxa"/>
              <w:bottom w:w="90" w:type="dxa"/>
              <w:end w:w="120" w:type="dxa"/>
              <w:left w:w="90" w:type="dxa"/>
              <w:right w:w="90" w:type="dxa"/>
            </w:tcMar>
          </w:tcPr>
          <w:p>
            <w:pPr>
              <w:spacing w:after="0"/>
            </w:pPr>
            <w:r>
              <w:rPr>
                <w:rFonts w:ascii="Aptos" w:hAnsi="Aptos"/>
                <w:sz w:val="16"/>
              </w:rPr>
              <w:t>Name:</w:t>
            </w:r>
          </w:p>
        </w:tc>
        <w:tc>
          <w:tcPr>
            <w:tcW w:type="dxa" w:w="5018"/>
            <w:tcMar>
              <w:top w:w="90" w:type="dxa"/>
              <w:start w:w="120" w:type="dxa"/>
              <w:bottom w:w="90" w:type="dxa"/>
              <w:end w:w="120" w:type="dxa"/>
              <w:left w:w="90" w:type="dxa"/>
              <w:right w:w="90" w:type="dxa"/>
            </w:tcMar>
          </w:tcPr>
          <w:p>
            <w:pPr>
              <w:spacing w:after="0"/>
            </w:pPr>
            <w:r>
              <w:rPr>
                <w:rFonts w:ascii="Aptos" w:hAnsi="Aptos"/>
                <w:sz w:val="16"/>
              </w:rPr>
              <w:t>[Associate name]</w:t>
            </w:r>
          </w:p>
        </w:tc>
      </w:tr>
      <w:tr>
        <w:trPr>
          <w:trHeight w:hRule="auto"/>
        </w:trPr>
        <w:tc>
          <w:tcPr>
            <w:tcW w:type="dxa" w:w="5018"/>
            <w:tcMar>
              <w:top w:w="90" w:type="dxa"/>
              <w:start w:w="120" w:type="dxa"/>
              <w:bottom w:w="90" w:type="dxa"/>
              <w:end w:w="120" w:type="dxa"/>
              <w:left w:w="90" w:type="dxa"/>
              <w:right w:w="90" w:type="dxa"/>
            </w:tcMar>
          </w:tcPr>
          <w:p>
            <w:pPr>
              <w:spacing w:after="0"/>
            </w:pPr>
            <w:r>
              <w:rPr>
                <w:rFonts w:ascii="Aptos" w:hAnsi="Aptos"/>
                <w:sz w:val="16"/>
              </w:rPr>
              <w:t>Title:</w:t>
            </w:r>
          </w:p>
        </w:tc>
        <w:tc>
          <w:tcPr>
            <w:tcW w:type="dxa" w:w="5018"/>
            <w:tcMar>
              <w:top w:w="90" w:type="dxa"/>
              <w:start w:w="120" w:type="dxa"/>
              <w:bottom w:w="90" w:type="dxa"/>
              <w:end w:w="120" w:type="dxa"/>
              <w:left w:w="90" w:type="dxa"/>
              <w:right w:w="90" w:type="dxa"/>
            </w:tcMar>
          </w:tcPr>
          <w:p>
            <w:pPr>
              <w:spacing w:after="0"/>
            </w:pPr>
            <w:r>
              <w:rPr>
                <w:rFonts w:ascii="Aptos" w:hAnsi="Aptos"/>
                <w:sz w:val="16"/>
              </w:rPr>
            </w:r>
          </w:p>
        </w:tc>
      </w:tr>
      <w:tr>
        <w:trPr>
          <w:trHeight w:hRule="auto"/>
        </w:trPr>
        <w:tc>
          <w:tcPr>
            <w:tcW w:type="dxa" w:w="5018"/>
            <w:tcMar>
              <w:top w:w="90" w:type="dxa"/>
              <w:start w:w="120" w:type="dxa"/>
              <w:bottom w:w="90" w:type="dxa"/>
              <w:end w:w="120" w:type="dxa"/>
              <w:left w:w="90" w:type="dxa"/>
              <w:right w:w="90" w:type="dxa"/>
            </w:tcMar>
          </w:tcPr>
          <w:p>
            <w:pPr>
              <w:spacing w:after="0"/>
            </w:pPr>
            <w:r>
              <w:rPr>
                <w:rFonts w:ascii="Aptos" w:hAnsi="Aptos"/>
                <w:sz w:val="16"/>
              </w:rPr>
              <w:t>Signature:</w:t>
            </w:r>
          </w:p>
        </w:tc>
        <w:tc>
          <w:tcPr>
            <w:tcW w:type="dxa" w:w="5018"/>
            <w:tcMar>
              <w:top w:w="90" w:type="dxa"/>
              <w:start w:w="120" w:type="dxa"/>
              <w:bottom w:w="90" w:type="dxa"/>
              <w:end w:w="120" w:type="dxa"/>
              <w:left w:w="90" w:type="dxa"/>
              <w:right w:w="90" w:type="dxa"/>
            </w:tcMar>
          </w:tcPr>
          <w:p>
            <w:pPr>
              <w:spacing w:after="0"/>
            </w:pPr>
            <w:r>
              <w:rPr>
                <w:rFonts w:ascii="Aptos" w:hAnsi="Aptos"/>
                <w:sz w:val="16"/>
              </w:rPr>
              <w:t>Signature:</w:t>
            </w:r>
          </w:p>
        </w:tc>
      </w:tr>
      <w:tr>
        <w:trPr>
          <w:trHeight w:hRule="auto"/>
        </w:trPr>
        <w:tc>
          <w:tcPr>
            <w:tcW w:type="dxa" w:w="5018"/>
            <w:tcMar>
              <w:top w:w="90" w:type="dxa"/>
              <w:start w:w="120" w:type="dxa"/>
              <w:bottom w:w="90" w:type="dxa"/>
              <w:end w:w="120" w:type="dxa"/>
              <w:left w:w="90" w:type="dxa"/>
              <w:right w:w="90" w:type="dxa"/>
            </w:tcMar>
          </w:tcPr>
          <w:p>
            <w:pPr>
              <w:spacing w:after="0"/>
            </w:pPr>
            <w:r>
              <w:rPr>
                <w:rFonts w:ascii="Aptos" w:hAnsi="Aptos"/>
                <w:sz w:val="16"/>
              </w:rPr>
              <w:t>Date:</w:t>
            </w:r>
          </w:p>
        </w:tc>
        <w:tc>
          <w:tcPr>
            <w:tcW w:type="dxa" w:w="5018"/>
            <w:tcMar>
              <w:top w:w="90" w:type="dxa"/>
              <w:start w:w="120" w:type="dxa"/>
              <w:bottom w:w="90" w:type="dxa"/>
              <w:end w:w="120" w:type="dxa"/>
              <w:left w:w="90" w:type="dxa"/>
              <w:right w:w="90" w:type="dxa"/>
            </w:tcMar>
          </w:tcPr>
          <w:p>
            <w:pPr>
              <w:spacing w:after="0"/>
            </w:pPr>
            <w:r>
              <w:rPr>
                <w:rFonts w:ascii="Aptos" w:hAnsi="Aptos"/>
                <w:sz w:val="16"/>
              </w:rPr>
              <w:t>Date:</w:t>
            </w:r>
          </w:p>
        </w:tc>
      </w:tr>
    </w:tbl>
    <w:p>
      <w:pPr>
        <w:spacing w:before="200"/>
        <w:jc w:val="center"/>
      </w:pPr>
      <w:r>
        <w:rPr>
          <w:b/>
          <w:color w:val="B78B2E"/>
          <w:sz w:val="16"/>
        </w:rPr>
        <w:t>RELATIONSHIP CAPITAL™. GOVERNED PROPERLY.   |   MAKE YOUR B2B INTRODUCTIONS COUNT™</w:t>
      </w:r>
    </w:p>
    <w:sectPr w:rsidR="00FC693F" w:rsidRPr="0006063C" w:rsidSect="00034616">
      <w:headerReference w:type="default" r:id="rId9"/>
      <w:footerReference w:type="default" r:id="rId10"/>
      <w:headerReference w:type="first" r:id="rId11"/>
      <w:footerReference w:type="first" r:id="rId13"/>
      <w:pgSz w:w="11909" w:h="16834"/>
      <w:pgMar w:top="1123" w:right="936" w:bottom="792" w:left="936" w:header="31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8A6417"/>
        <w:sz w:val="14"/>
      </w:rPr>
      <w:t>PSTORA LIMITED  |  ASSOCIATE ENROLMENT &amp; WORKING TERMS  |  STRICTLY PRIVATE &amp; CONFIDENTIAL</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8" w:space="1" w:color="C5A14B"/>
      </w:pBdr>
    </w:pPr>
    <w:r>
      <w:drawing>
        <wp:inline xmlns:a="http://schemas.openxmlformats.org/drawingml/2006/main" xmlns:pic="http://schemas.openxmlformats.org/drawingml/2006/picture">
          <wp:extent cx="512064" cy="512064"/>
          <wp:docPr id="1" name="Picture 1"/>
          <wp:cNvGraphicFramePr>
            <a:graphicFrameLocks noChangeAspect="1"/>
          </wp:cNvGraphicFramePr>
          <a:graphic>
            <a:graphicData uri="http://schemas.openxmlformats.org/drawingml/2006/picture">
              <pic:pic>
                <pic:nvPicPr>
                  <pic:cNvPr id="0" name="ChatGPT Image Sep 27, 2026, 09_57_48 PM(7).png"/>
                  <pic:cNvPicPr/>
                </pic:nvPicPr>
                <pic:blipFill>
                  <a:blip r:embed="rId2"/>
                  <a:stretch>
                    <a:fillRect/>
                  </a:stretch>
                </pic:blipFill>
                <pic:spPr>
                  <a:xfrm>
                    <a:off x="0" y="0"/>
                    <a:ext cx="512064" cy="512064"/>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2" w:lineRule="auto"/>
    </w:pPr>
    <w:rPr>
      <w:rFonts w:ascii="Aptos" w:hAnsi="Aptos"/>
      <w:color w:val="1F29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0B2239"/>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B78B2E"/>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w:hAnsi="Aptos"/>
      <w:b/>
      <w:color w:val="0B223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image" Target="media/image3.png"/><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PSTORA Associate Enrolment Working Terms v2 6 BLANK TEMPLATE</dc:title>
  <dc:subject>Blank PSTORA template</dc:subject>
  <dc:creator/>
  <cp:keywords/>
  <dc:description/>
  <cp:lastModifiedBy/>
  <cp:revision>1</cp:revision>
  <dcterms:created xsi:type="dcterms:W3CDTF">2013-12-23T23:15:00Z</dcterms:created>
  <dcterms:modified xsi:type="dcterms:W3CDTF">2013-12-23T23:15:00Z</dcterms:modified>
  <cp:category/>
</cp:coreProperties>
</file>